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5A_631/2017 vom 2. Oktober 2017</w:t>
      </w:r>
    </w:p>
    <w:p>
      <w:r>
        <w:t>Bundesgericht, 2017-10-02, DE</w:t>
      </w:r>
    </w:p>
    <w:p>
      <w:r>
        <w:rPr>
          <w:b/>
        </w:rPr>
        <w:t xml:space="preserve">Quelle: </w:t>
      </w:r>
      <w:r>
        <w:t>https://mcp.opencaselaw.ch/entscheid/bger_5A_631_2017</w:t>
      </w:r>
    </w:p>
    <w:p>
      <w:r>
        <w:t>FR: TF 5A_631/2017 du 2 octobre 2017</w:t>
      </w:r>
    </w:p>
    <w:p>
      <w:r>
        <w:t>IT: TF 5A_631/2017 del 2 ottobre 2017</w:t>
      </w:r>
    </w:p>
    <w:p>
      <w:pPr>
        <w:pStyle w:val="Heading2"/>
      </w:pPr>
      <w:r>
        <w:t>Erwägungen</w:t>
      </w:r>
    </w:p>
    <w:p>
      <w:r>
        <w:rPr>
          <w:b/>
        </w:rPr>
        <w:t>E. 1</w:t>
      </w:r>
    </w:p>
    <w:p>
      <w:r>
        <w:t>Das Bundesgericht kann auf Beschwerde hin einzig Entscheide letzter kantonaler Instanzen beurteilen ( Art. 75 Abs. 1 BGG ). Grundsätzlich muss es sich um einen Endentscheid handeln ( Art. 90 BGG ), wobei unter bestimmten Voraussetzungen ausnahmsweise auch Zwischenentscheide anfechtbar sind ( Art. 92 und 93 BGG ).</w:t>
      </w:r>
    </w:p>
    <w:p>
      <w:r>
        <w:t>Der Beschwerdeführer wendet sich nicht gegen einen Entscheid, sondern gegen ein Schreiben, mit welchem ein Entscheid angekündigt wird. Selbst wenn dieses Schreiben als Zwischenverfügung aufgefasst würde, könnte dagegen keine Beschwerde erhoben werden, weil vor dem Hintergrund des demnächst ergehenden und anfechtbaren Entscheides jedenfalls kein nicht wieder gutzumachender Nachteil im Sinn von Art. 93 Abs. 1 lit. a BGG ersichtlich wäre.</w:t>
      </w:r>
    </w:p>
    <w:p>
      <w:r>
        <w:rPr>
          <w:b/>
        </w:rPr>
        <w:t>E. 2</w:t>
      </w:r>
    </w:p>
    <w:p>
      <w:r>
        <w:t>Aufgrund des Gesagten ist auf die Beschwerde im Verfahren nach Art. 108 Abs. 1 lit. a BGG nicht einzutreten. Angesichts der speziellen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