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5A_62/2011 vom 26. Juli 2011</w:t>
      </w:r>
    </w:p>
    <w:p>
      <w:r>
        <w:t>Bundesgericht, 2011-07-26, FR</w:t>
      </w:r>
    </w:p>
    <w:p>
      <w:r>
        <w:rPr>
          <w:b/>
        </w:rPr>
        <w:t xml:space="preserve">Quelle: </w:t>
      </w:r>
      <w:r>
        <w:t>https://mcp.opencaselaw.ch/entscheid/bger_5A_62_2011</w:t>
      </w:r>
    </w:p>
    <w:p>
      <w:r>
        <w:t>FR: TF 5A_62/2011 du 26 juillet 2011</w:t>
      </w:r>
    </w:p>
    <w:p>
      <w:r>
        <w:t>IT: TF 5A_62/2011 del 26 luglio 2011</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dès lors que son objet est différent de celui de la procédure en annulation du mariage qui a été engagée et qu'elle met fin à l'instance sous l'angle procédural (cf. dans ce sens, en procédure de divorce, ATF 133 III 393 consid. 4; arrêt 5A_409/2007 du 16 novembre 2007 consid. 1).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 art. 75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conformément au principe d'allégation ( ATF 133 IV 286 consid. 1.4). Il n'entre pas en matière sur les critiques de nature appellatoire ( ATF 133 III 589 consid. 2).</w:t>
      </w:r>
    </w:p>
    <w:p>
      <w:r>
        <w:rPr>
          <w:b/>
        </w:rPr>
        <w:t>E. 2.1</w:t>
      </w:r>
    </w:p>
    <w:p>
      <w:r>
        <w:t>Pour refuser toute contribution d'entretien et provisio ad litem en faveur du recourant, la cour cantonale s'est fondée sur deux motifs. Principalement elle a admis que le recourant commettait un abus de droit, au sens de l' art. 2 al. 2 CC , en se prévalant d'un cadre fictif pour demander une contribution d'entretien. A l'appui de ce motif, elle a constaté que les époux admettaient qu'ils avaient recouru à l'institution du mariage dans le seul but d'obtenir une autorisation de séjour pour le recourant et qu'ils n'avaient jamais voulu, ni lors de la conclusion du mariage, ni par la suite, former une communauté de toit et de lit. Dans ces conditions très particulières, la cour a estimé qu'il serait choquant de protéger l'institution du mariage, qui, dans le cas d'espèce, avait été totalement détournée de son but. Subsidiairement, la cour a considéré que, dans tous les cas, l'application par analogie de l' art. 125 CC conduirait à refuser toute pension au recourant. Pour cela, elle a constaté qu'il ne ressortait pas du dossier que les époux avaient contribué financièrement à l'entretien l'un de l'autre; la prise en charge de la part des employeurs avait eu lieu dès l'arrivée en Suisse de l'intimé, indépendamment du mariage conclu par la suite. Elle a jugé, en application des art. 163 al. 1 CC et 125 al. 2 CC, que le recourant n'avait pas rendu vraisemblable que le mariage avait eu un impact décisif sur sa situation financière. Partant, indépendamment de l'abus de droit, l'époux n'avait pas droit à une contribution d'entretien. Pour les mêmes motifs, la cour cantonale a refusé la provisio ad litem.</w:t>
      </w:r>
    </w:p>
    <w:p>
      <w:r>
        <w:rPr>
          <w:b/>
        </w:rPr>
        <w:t>E. 2.2</w:t>
      </w:r>
    </w:p>
    <w:p>
      <w:r>
        <w:t>A l'encontre du premier motif, le recourant invoque qu'il est arbitraire de lui opposer un abus de droit. Selon lui, qu'un époux se retrouve malade, sans ressources financières, après un mariage de près de cinq ans, consenti à la demande de tiers et accepté dans le but de soutenir la famille de l'intimée, heurte de manière choquante le sentiment de justice et d'équité. A l'encontre du second motif, le recourant se plaint d'une application arbitraire des art. 125 al. 2 et 163 CC en affirmant uniquement que "(...) [la Cour] méconnaît l'application des articles 163 et 125 al. 2 CC dans le cadre des mesures protectrices de l'union conjugale, lorsqu'il n'y a pas de perspectives de réconciliation. En effet, l'autorité cantonale aurait dû aussi examiner si le recourant pouvait exercer une activité lucrative, compte tenu de son âge, de sa santé et de sa formation".</w:t>
      </w:r>
    </w:p>
    <w:p>
      <w:r>
        <w:rPr>
          <w:b/>
        </w:rPr>
        <w:t>E. 3</w:t>
      </w:r>
    </w:p>
    <w:p>
      <w:r>
        <w:t>Saisi d'un recours en matière civile au sens de l' art. 98 LTF , le Tribunal fédéral peut rejeter le recours en opérant une substitution de motifs, pour autant que la nouvelle motivation n'ait pas été expressément réfutée par l'autorité cantonale et qu'elle résiste, à son tour, au grief de la violation des droits constitutionnels ( ATF 133 III 545 consid. 2.2; 128 III 4 consid. 4c/aa; 112 Ia 353 consid. 3c/bb; arrêt 5A_684/2008 du 1er décembre 2008 consid. 1.2).</w:t>
      </w:r>
    </w:p>
    <w:p>
      <w:r>
        <w:rPr>
          <w:b/>
        </w:rPr>
        <w:t>E. 3.1</w:t>
      </w:r>
    </w:p>
    <w:p>
      <w:r>
        <w:t>Même lorsqu'on ne peut plus sérieusement compter sur la reprise de la vie commune, ce que le juge du fait doit constater, l' art. 163 CC demeure la cause de l'obligation d'entretien réciproque des époux en mesures protectrices de l'union conjugale, comme il l'est aussi en mesures provisionnelles prononcées pour la durée de la procédure de divorce ( ATF 130 III 537 consid.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(cf. aussi, arrêt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(dans ce sens, cf. ATF 130 III 537 consid. 3.2).</w:t>
      </w:r>
    </w:p>
    <w:p>
      <w:r>
        <w:t>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w:t>
      </w:r>
    </w:p>
    <w:p>
      <w:r>
        <w:rPr>
          <w:b/>
        </w:rPr>
        <w:t>E. 3.2</w:t>
      </w:r>
    </w:p>
    <w:p>
      <w:r>
        <w:t>En l'espèce, il ressort des constatations de fait de l'arrêt attaqué que les époux se sont mariés dans le but, pour l'un, d'obtenir un permis de séjour, et, pour l'autre, de répondre à une demande de son frère qui souhaitait pouvoir, par ce moyen, conserver son employé. Ils n'ont jamais vécu ensemble, n'ont jamais formé de communauté conjugale sous quelque forme que ce soit, et aucun d'eux n'a contribué, en espèces ou en nature, à l'entretien de l'autre. La capacité de gain de chacun des époux n'a donc pas été un élément essentiel de la convention des époux, au sens de l' art. 163 al. 2 CC ; la perte de celle-ci, si elle était avérée, ne pourrait donc pas en entraîner la modification. En d'autres termes, la convention des époux était celle d'une indépendance totale, chacun pourvoyant à ses propres besoins et vivant en tous points de manière autonome par rapport à l'autre. Il n'y a donc, au moment de statuer sur les mesures protectrices de l'union conjugale, aucun fait nouveau justifiant de modifier la convention des parties. Le recourant n'a donc droit à aucune contribution d'entretien, que ce soit pour subvenir à ses besoins courants ou supporter les coûts du procès.</w:t>
      </w:r>
    </w:p>
    <w:p>
      <w:r>
        <w:rPr>
          <w:b/>
        </w:rPr>
        <w:t>E. 3.3</w:t>
      </w:r>
    </w:p>
    <w:p>
      <w:r>
        <w:t>Le recourant n'ayant, en application de l' art. 163 CC , aucun droit à une contribution d'entretien, ou à une provisio ad litem, c'est à tort que l'autorité cantonale a recouru à l'abus de droit au sens de l' art. 2 al. 2 CC pour statuer. Quant à la motivation subsidiaire de l'autorité cantonale, tirée de l'absence d'impact décisif du mariage, question de fond de la procédure de divorce, elle est sans pertinence au regard de l' art. 163 CC . Le recours sera donc rejeté par substitution de motifs.</w:t>
      </w:r>
    </w:p>
    <w:p>
      <w:r>
        <w:rPr>
          <w:b/>
        </w:rPr>
        <w:t>E. 4</w:t>
      </w:r>
    </w:p>
    <w:p>
      <w:r>
        <w:t>En conclusion, le recours est rejeté. En dépit de la substitution de motifs, les conclusions du recourant étaient dépourvues de toute chance de succès. Sa requête d'assistance judiciaire est donc rejetée ( art. 64 al. 1 LTF ) et les frais judiciaires, arrêtés à 1'000 fr., mis à sa charge ( art. 66 al. 1 LTF ). La partie intimée, qui n'a pas été invitée à se déterminer sur le recours,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