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5A_629/2025 vom 7. August 2025</w:t>
      </w:r>
    </w:p>
    <w:p>
      <w:r>
        <w:t>Bundesgericht, 2025-08-07, DE</w:t>
      </w:r>
    </w:p>
    <w:p>
      <w:r>
        <w:rPr>
          <w:b/>
        </w:rPr>
        <w:t xml:space="preserve">Quelle: </w:t>
      </w:r>
      <w:r>
        <w:t>https://mcp.opencaselaw.ch/entscheid/bger_5A_629_2025</w:t>
      </w:r>
    </w:p>
    <w:p>
      <w:r>
        <w:t>FR: TF 5A_629/2025 du 7 août 2025</w:t>
      </w:r>
    </w:p>
    <w:p>
      <w:r>
        <w:t>IT: TF 5A_629/2025 del 7 agosto 2025</w:t>
      </w:r>
    </w:p>
    <w:p>
      <w:pPr>
        <w:pStyle w:val="Heading2"/>
      </w:pPr>
      <w:r>
        <w:t>Erwägungen</w:t>
      </w:r>
    </w:p>
    <w:p>
      <w:r>
        <w:rPr>
          <w:b/>
        </w:rPr>
        <w:t>E. 1</w:t>
      </w:r>
    </w:p>
    <w:p>
      <w:r>
        <w:t>Entscheide kantonaler Aufsichtsbehörden über Beschwerden gegen Verfügungen von Vollstreckungsorganen gemäss Art. 17 SchKG unterliegen unabhängig von einer Streitwertgrenze der Beschwerde in Zivilsachen ( Art. 72 Abs. 2 lit. a und Art. 74 Abs. 2 lit. c BGG i.V.m. Art. 19 SchKG ).</w:t>
      </w:r>
    </w:p>
    <w:p>
      <w:r>
        <w:rPr>
          <w:b/>
        </w:rPr>
        <w:t>E. 2</w:t>
      </w:r>
    </w:p>
    <w:p>
      <w:r>
        <w:t>Die Vorinstanz ist auf das Rechtsmittel des Beschwerdeführers nicht eingetreten. Anfechtungsgegenstand im bundesgerichtlichen Verfahren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Obergericht hat erwogen, dass sich der Beschwerdeführer mit der erstinstanzlichen Entscheidbegründung nicht auseinandersetze und nicht aufzeige, an welchen Mängeln der erstinstanzliche Entscheid leiden soll. Ohnehin würden seine Behauptungen im Zusammenhang mit dem Umzug und dem Erhalt des Rechtsöffnungsentscheides nichts ändern, denn er habe anlässlich der Rechtsöffnungsverhandlung einen Monat zuvor auch auf Nachfragen des Vorderrichters hin keine andere Adresse angegeben und er habe die Zustellung des Rechtsöffnungsentscheides, für den er eine schriftlich begründete Ausfertigung verlangt habe, erwarten müssen, diesen aber trotz Avisierung zur Abholung nicht auf der Post abgeholt.</w:t>
      </w:r>
    </w:p>
    <w:p>
      <w:r>
        <w:rPr>
          <w:b/>
        </w:rPr>
        <w:t>E. 4</w:t>
      </w:r>
    </w:p>
    <w:p>
      <w:r>
        <w:t>Mit den obergerichtlichen Nichteintretenserwägungen setzt sich der Beschwerdeführer nicht auseinander, sondern er beschränkt sich auf die an der Sache vorbeigehende Behauptung, er habe am neuen Ort aufgrund seiner finanziellen Situation noch kein Postfach eröffnen können, welches ihm die Abholung ermöglicht hätte. Damit erweist sich die Beschwerde als offensichtlich nicht hinreichend begründet, weshalb auf sie im vereinfachten Verfahren nach Art. 108 Abs. 1 lit. b BGG nicht einzutreten ist.</w:t>
      </w:r>
    </w:p>
    <w:p>
      <w:r>
        <w:rPr>
          <w:b/>
        </w:rPr>
        <w:t>E. 5</w:t>
      </w:r>
    </w:p>
    <w:p>
      <w:r>
        <w:t>Bundesgerichtliche Urteile werden nicht mündlich verlesen, sondern grundsätzlich schriftlich eröffnet (vgl. Art. 58 BGG ).</w:t>
      </w:r>
    </w:p>
    <w:p>
      <w:r>
        <w:rPr>
          <w:b/>
        </w:rPr>
        <w:t>E. 6</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