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5A_627/2023 vom 5. Oktober 2023</w:t>
      </w:r>
    </w:p>
    <w:p>
      <w:r>
        <w:t>Bundesgericht, 2023-10-05, DE</w:t>
      </w:r>
    </w:p>
    <w:p>
      <w:r>
        <w:rPr>
          <w:b/>
        </w:rPr>
        <w:t xml:space="preserve">Quelle: </w:t>
      </w:r>
      <w:r>
        <w:t>https://mcp.opencaselaw.ch/entscheid/bger_5A_627_2023</w:t>
      </w:r>
    </w:p>
    <w:p>
      <w:r>
        <w:t>FR: TF 5A_627/2023 du 5 octobre 2023</w:t>
      </w:r>
    </w:p>
    <w:p>
      <w:r>
        <w:t>IT: TF 5A_627/2023 del 5 ottobre 2023</w:t>
      </w:r>
    </w:p>
    <w:p>
      <w:pPr>
        <w:pStyle w:val="Heading2"/>
      </w:pPr>
      <w:r>
        <w:t>Erwägungen</w:t>
      </w:r>
    </w:p>
    <w:p>
      <w:r>
        <w:rPr>
          <w:b/>
        </w:rPr>
        <w:t>E. 1</w:t>
      </w:r>
    </w:p>
    <w:p>
      <w:r>
        <w:t>Bereits im Rubrum des angefochtenen Beschlusses wird mit Fettschrift hervorgehoben, dass es um eine vorsorgliche Massnahme geht. Sodann wird in der Rechtsmittelbelehrung explizit darauf hingewiesen, dass es sich um eine vorsorgliche Massnahme im Sinn von Art. 98 BGG und überdies um einen Zwischenentscheid im Sinn von Art. 93 BGG handelt.</w:t>
      </w:r>
    </w:p>
    <w:p>
      <w:r>
        <w:t>Unbekümmert um diese klaren Hinweise geht die anwaltlich vertretene Beschwerdeführerin davon aus, dass sich die 30-tägige Beschwerdefrist nach Art. 100 Abs. 1 BGG um die Gerichtsferien im Sinn von Art. 46 Abs. 1 lit. b BGG verlängert habe, obwohl diese gemäss Art. 46 Abs. 2 BGG bei vorsorglichen Massnahmen nicht zum Tragen kommen. Die Beschwerde wurde somit um einen Monat zu spät eingereicht.</w:t>
      </w:r>
    </w:p>
    <w:p>
      <w:r>
        <w:t>Sodann äussert sich die Beschwerdeführerin unbekümmert um die klare Rechtsmittelbelehrung mit keinem Wort zu den Anfechtungsvoraussetzungen bei Zwischenentscheiden. Diese sind nur ausnahmsweise unter den besonderen Bedingungen von Art. 93 Abs. 1 BGG sofort beim Bundesgericht anfechtbar, wobei diese in der Beschwerde im Einzelnen darzulegen sind ( BGE 137 III 324 E. 1.1; 141 III 80 E. 1.2; 141 IV 289 E. 1.3).</w:t>
      </w:r>
    </w:p>
    <w:p>
      <w:r>
        <w:t>Schliesslich beschränkt sich die Beschwerdeführerin unbekümmert um die Rechtsmittelbelehrung auf rein appellatorische Ausführungen, obwohl bei vorsorglichen Massnahmen nur die Verletzung verfassungsmässiger Rechte gerügt werden kann ( Art. 98 BGG ), wofür das strenge Rügeprinzip von Art. 106 Abs. 2 BGG zur Anwendung gelangt und bloss appellatorische Ausführungen unzulässig sind ( BGE 142 III 364 E. 2.4; 149 III 81 E. 1.3).</w:t>
      </w:r>
    </w:p>
    <w:p>
      <w:r>
        <w:t>Vor diesem Hintergrund erübrigt es sich, auf die Frage der Postulationsfähigkeit der Beschwerdeführerin näher einzugehen.</w:t>
      </w:r>
    </w:p>
    <w:p>
      <w:r>
        <w:rPr>
          <w:b/>
        </w:rPr>
        <w:t>E. 2</w:t>
      </w:r>
    </w:p>
    <w:p>
      <w:r>
        <w:t>Nach dem Gesagten erweist sich die Beschwerde zufolge verspäteter Einreichung als offensichtlich unzulässig und sodann auch als offensichtlich nicht hinreichend begründet, weshalb auf sie nicht eingetreten werden kann und der Präsident im vereinfachten Verfahren entscheidet ( Art. 108 Abs. 1 lit. a und b BGG ).</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