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5A_627/2018 vom 3. August 2018</w:t>
      </w:r>
    </w:p>
    <w:p>
      <w:r>
        <w:t>Bundesgericht, 2018-08-03, DE</w:t>
      </w:r>
    </w:p>
    <w:p>
      <w:r>
        <w:rPr>
          <w:b/>
        </w:rPr>
        <w:t xml:space="preserve">Quelle: </w:t>
      </w:r>
      <w:r>
        <w:t>https://mcp.opencaselaw.ch/entscheid/bger_5A_627_2018</w:t>
      </w:r>
    </w:p>
    <w:p>
      <w:r>
        <w:t>FR: TF 5A_627/2018 du 3 août 2018</w:t>
      </w:r>
    </w:p>
    <w:p>
      <w:r>
        <w:t>IT: TF 5A_627/2018 del 3 agosto 2018</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erfolgt durch C.________, welcher offensichtlich nicht Rechtsanwalt und deshalb nicht zur Vertretung von A.________ befugt ist.</w:t>
      </w:r>
    </w:p>
    <w:p>
      <w:r>
        <w:t>Eine Rückweisung zur Verbesserung des Mangels (namentlich durch eigenhändige Unterzeichnung seitens der Beschwerdeführerin) erübrigt sich jedoch, weil auf die Beschwerde mangels tauglicher Rechtsbegehren und mangels einer hinreichenden Begründung (vgl. E. 3 und 4) ohnehin nicht einzutreten ist.</w:t>
      </w:r>
    </w:p>
    <w:p>
      <w:r>
        <w:rPr>
          <w:b/>
        </w:rPr>
        <w:t>E. 2</w:t>
      </w:r>
    </w:p>
    <w:p>
      <w:r>
        <w:t>Die Beschwerde hat ein sachbezogenes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Rechtsbegehren lauten: "Unter Kosten- und Entschädigungsfolgen zu Lasten der Klägerin" und "Gemäss Art. 328 Abs. 1 lit. c ZPO verlangen wir die Revision". Dies sind keine vor Bundesgericht zulässigen Begehren, da sie mit dem vorliegenden Entscheid nicht so umsetzbar sind (vgl. dazu E. 4).</w:t>
      </w:r>
    </w:p>
    <w:p>
      <w:r>
        <w:rPr>
          <w:b/>
        </w:rPr>
        <w:t>E. 4</w:t>
      </w:r>
    </w:p>
    <w:p>
      <w:r>
        <w:t>Sodann beschränkt sich die Beschwerde auf materielle und nur teilweise erbrechtlich relevante Ausführungen (Tätigkeit in Vietnam; angebliche Druckausübung während des Abschlusses des Vergleichs; Kontoführung; Bitte um Prüfung, für was die Gegenseite vorempfangenes Geld ausgegeben habe), äussert sich aber mit keinem Wort zur ausführlichen Begründung des angefochtenen Entscheides. Diese geht dahin, dass der erstinstanzliche Abschreibungsbeschluss kein Berufungs- oder Beschwerdeobjekt sein könne, weil der Vergleich das Verfahren unmittelbar beende, und dass die Beschwerdeführerin, wenn sie den Vergleich nicht gelten lassen, sondern eine zivilrechtliche Unwirksamkeit geltend machen wolle, beim Gericht, das in der Sache entschieden habe, ein Revisionsgesuch stellen müsse.</w:t>
      </w:r>
    </w:p>
    <w:p>
      <w:r>
        <w:t>Ein solches Begehren hat die Beschwerdeführerin zwar vor Bundesgericht gestellt (vgl. E. 3), aber wie das Obergericht zutreffend festgehalten hat, muss die Revision beim Gericht verlangt werden, welches das Verfahren abgeschrieben hat (vgl. Art. 328 Abs. 1 ZPO ), mithin beim Bezirksgericht Zofingen. Das Bundesgericht ist zur Revision eines erstinstanzlichen Aktes unzuständig.</w:t>
      </w:r>
    </w:p>
    <w:p>
      <w:r>
        <w:rPr>
          <w:b/>
        </w:rPr>
        <w:t>E. 5</w:t>
      </w:r>
    </w:p>
    <w:p>
      <w:r>
        <w:t>Nach dem Gesagten erweist sich die Beschwerde als offensichtlich unzulässig und nicht hinreichend begründet, weshalb auf sie nicht eingetreten werden kann und der Präsident im vereinfachten Verfahren entscheidet ( Art. 108 Abs. 1 lit. a und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