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626/2021 vom 9. August 2021</w:t>
      </w:r>
    </w:p>
    <w:p>
      <w:r>
        <w:t>Bundesgericht, 2021-08-09, DE</w:t>
      </w:r>
    </w:p>
    <w:p>
      <w:r>
        <w:rPr>
          <w:b/>
        </w:rPr>
        <w:t xml:space="preserve">Quelle: </w:t>
      </w:r>
      <w:r>
        <w:t>https://mcp.opencaselaw.ch/entscheid/bger_5A_626_2021</w:t>
      </w:r>
    </w:p>
    <w:p>
      <w:r>
        <w:t>FR: TF 5A 626/2021 du 9 août 2021</w:t>
      </w:r>
    </w:p>
    <w:p>
      <w:r>
        <w:t>IT: TF 5A 626/2021 del 9 agosto 2021</w:t>
      </w:r>
    </w:p>
    <w:p>
      <w:pPr>
        <w:pStyle w:val="Heading2"/>
      </w:pPr>
      <w:r>
        <w:t>Regeste</w:t>
      </w:r>
    </w:p>
    <w:p>
      <w:r>
        <w:t>Fürsorgerische Unterbringung | Familienrecht</w:t>
      </w:r>
    </w:p>
    <w:p>
      <w:pPr>
        <w:pStyle w:val="Heading2"/>
      </w:pPr>
      <w:r>
        <w:t>Erwägungen</w:t>
      </w:r>
    </w:p>
    <w:p>
      <w:r>
        <w:rPr>
          <w:b/>
        </w:rPr>
        <w:t>E. 1</w:t>
      </w:r>
    </w:p>
    <w:p>
      <w:r>
        <w:t>Am 7. Juli 2021 wurde der Beschwerdeführer notfallmässig in die Klinik B.________ eingewiesen und dort ärztlich zurückbehalten. Nach Gewährung des rechtlichen Gehörs verlängerte die KESB Thal-Gäu/ Dorneck-Thierstein am 9. Juli 2021 die fürsorgerische Unterbringung um maximal sechs Wochen. Gegen diese Verfügung erhob der Beschwerdeführer am 19. Juli 2021 Beschwerde an das Verwaltungsgericht des Kantons Solothurn. Das Verwaltungsgericht führte am 20. Juli 2021 in der Klinik eine Instruktionsverhandlung durch. Das Gutachten datiert vom 26. Juli 2021. Mit Urteil vom 30. Juli 2021 wies das Verwaltungsgericht die Beschwerde ab. Mit Eingabe vom 4. August 2021 hat der Beschwerdeführer gegenüber dem Verwaltungsgericht erklärt, mit diesem Urteil nicht einverstanden zu sein. Das Verwaltungsgericht hat die Eingabe zuständigkeitshalber dem Bundesgericht übermittelt ( Art. 48 Abs. 3 BGG ).</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Der Beschwerdeführer trägt vor, er sei mit der Beschwerdeabweisung nicht einverstanden. Die Anschuldigungen seien ehrverletzend und die Aussagen über ihn und seine Ehefrau seien falsch. Welche Aussagen im angefochtenen Urteil jedoch falsch sein sollen und inwiefern dies der Fall sein soll, legt der Beschwerdeführer nicht dar. Eine Auseinandersetzung mit den Erwägungen des Verwaltungsgerichts zu seiner Krankheit (manische Episode einer bipolaren Erkrankung), zur Notwendigkeit der Zurückbehaltung in der Klinik (insbesondere aufgrund der fehlenden Krankheits- und Behandlungseinsicht und der akuten Belastung seiner älteren und gesundheitlich angeschlagenen Ehefrau) sowie zur Geeignetheit der Klinik fehlt. Die Beschwerde enthält damit offensichtlich keine hinreichende Begründung. Auf sie ist im vereinfachten Verfahren durch das präsidierende Mitglied der Abteilung nicht einzutreten ( Art. 108 Abs. 1 lit. b BGG ).</w:t>
      </w:r>
    </w:p>
    <w:p>
      <w:r>
        <w:rPr>
          <w:b/>
        </w:rPr>
        <w:t>E. 4</w:t>
      </w:r>
    </w:p>
    <w:p>
      <w:r>
        <w:t>Auf die Erhebung von Gerichtskosten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