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5A_624/2020 vom 25. Februar 2021</w:t>
      </w:r>
    </w:p>
    <w:p>
      <w:r>
        <w:t>Bundesgericht, 2021-02-25, FR</w:t>
      </w:r>
    </w:p>
    <w:p>
      <w:r>
        <w:rPr>
          <w:b/>
        </w:rPr>
        <w:t xml:space="preserve">Quelle: </w:t>
      </w:r>
      <w:r>
        <w:t>https://mcp.opencaselaw.ch/entscheid/bger_5A_624_2020</w:t>
      </w:r>
    </w:p>
    <w:p>
      <w:r>
        <w:t>FR: TF 5A_624/2020 du 25 février 2021</w:t>
      </w:r>
    </w:p>
    <w:p>
      <w:r>
        <w:t>IT: TF 5A_624/2020 del 25 febbraio 2021</w:t>
      </w:r>
    </w:p>
    <w:p>
      <w:pPr>
        <w:pStyle w:val="Heading2"/>
      </w:pPr>
      <w:r>
        <w:t>Erwägungen</w:t>
      </w:r>
    </w:p>
    <w:p>
      <w:r>
        <w:rPr>
          <w:b/>
        </w:rPr>
        <w:t>E. 1</w:t>
      </w:r>
    </w:p>
    <w:p>
      <w:r>
        <w:t>Les deux recours sont dirigés contre des décisions séparées mais de contenus similaires, reposant sur le même complexe de faits et soulevant des questions juridiques analogues; dans ces conditions, il se justifie de joindre les deux causes et de statuer à leur sujet par un seul arrêt ( art. 24 PCF , applicable par analogie en raison du renvoi de l' art. 71 LTF ).</w:t>
      </w:r>
    </w:p>
    <w:p>
      <w:r>
        <w:rPr>
          <w:b/>
        </w:rPr>
        <w:t>E. 2</w:t>
      </w:r>
    </w:p>
    <w:p>
      <w:r>
        <w:t>Déposés dans le délai légal ( art. 100 al. 1 LTF ), par deux parties qui ont pris part à la procédure devant l'autorité précédente et qui sont lésées par la décision prise ( art. 76 al. 1 LTF ), à l'encontre d'une décision rendue par un tribunal supérieur ayant statué sur recours en dernière instance cantonale ( art. 75 al. 1 et 2 LTF ) dans le domaine de la protection de l'adulte (art. 72 al. 2 let. b ch. 6 LTF), les recours en matière civile sont en principe recevables au regard de ces dispositions.</w:t>
      </w:r>
    </w:p>
    <w:p>
      <w:r>
        <w:t>Les décisions attaquées, incidentes au sens de l' art. 93 LTF (arrêts 5A_336/2018 du 8 juin 2018 consid. 1; 5A_379/2017 du 5 décembre 2017 consid. 1.2), ne sont - hormis l'éventualité prévue à l' art. 93 al. 1 let. b LTF , exclue d'emblée dans le cas présent - susceptibles de recours que si elles peuvent causer un préjudice irréparable ( art. 93 al. 1 let. a LTF ), à savoir un préjudice de nature juridique qu'une décision finale, même favorable à la partie recourante, ne ferait pas disparaître entièrement ( ATF 142 III 798 consid. 2.2; 138 III 190 consid. 6). Tel est le cas en l'occurrence, s'agissant de mesures, confirmées par l'autorité précédente, imposant aux recourants le concours d'une curatrice de représentation et les limitant dans la gestion de leur patrimoine ( ATF 143 III 140 consid. 4.3; arrêts précités 5A_336/2018 consid. 1 et 5A_379/2017 consid. 1.2).</w:t>
      </w:r>
    </w:p>
    <w:p>
      <w:r>
        <w:t>La voie du recours en matière civile étant ouverte en l'espèce, les recours constitutionnels subsidiaires déposés en parallèle par les parties sont irrecevables ( art. 113 LTF ).</w:t>
      </w:r>
    </w:p>
    <w:p>
      <w:r>
        <w:rPr>
          <w:b/>
        </w:rPr>
        <w:t>E. 3.1</w:t>
      </w:r>
    </w:p>
    <w:p>
      <w:r>
        <w:t>Comme les décisions attaquées portent sur des mesures provisionnelles fondées sur l' art. 445 al. 1 CC , qui ne peuvent être déférées au Tribunal fédéral que pour violation des droits constitutionnels ( art. 98 LTF ; arrêts 5A_988/2018 du 11 décembre 2018 consid. 4; 5A_336/2018 du 8 juin 2018 consid. 2.1),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3.1).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3.2.2</w:t>
      </w:r>
    </w:p>
    <w:p>
      <w:r>
        <w:t>En l'espèce, les faits exposés dans les parties " III.- Faits " de chaque recours seront ignorés dans la mesure où ils s'écarteraient de ceux contenus dans les arrêts attaqués, dès lors que les recourants n'expliquent pas en quoi leur établissement serait arbitraire et aurait une influence sur le résultat de la décision.</w:t>
      </w:r>
    </w:p>
    <w:p>
      <w:r>
        <w:rPr>
          <w:b/>
        </w:rPr>
        <w:t>E. 3.3.1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3.3.2</w:t>
      </w:r>
    </w:p>
    <w:p>
      <w:r>
        <w:t>En annexe à leurs écritures, les recourants produisent chacun deux bordereaux de même contenu, l'un de onze pièces, numérotées, et l'autre de deux pièces, non numérotées. Hormis les procurations et les deux décisions rendues par les autorités de première et deuxième instance cantonale, qui sont manifestement recevables, les autres pièces produites sont toutefois irrecevables, dès lors que les recourants ne soutiennent pas que les faits qu'elles constatent résulteraient de la décision attaquée au sens de l' art. 99 al. 1 LTF .</w:t>
      </w:r>
    </w:p>
    <w:p>
      <w:r>
        <w:t>Dans le cas toutefois où les documents produits figureraient déjà au dossier cantonal, il conviendrait alors que les parties le fassent valoir et qu'elles établissent en quoi les faits censés en résulter et dont elles entendraient se prévaloir auraient été établis en violation de droits constitutionnels (cf.</w:t>
      </w:r>
    </w:p>
    <w:p>
      <w:r>
        <w:t>supra consid. 3.2.1).</w:t>
      </w:r>
    </w:p>
    <w:p>
      <w:r>
        <w:rPr>
          <w:b/>
        </w:rPr>
        <w:t>E. 4</w:t>
      </w:r>
    </w:p>
    <w:p>
      <w:r>
        <w:t>Dans les arrêts querellés - d'une teneur identique sous réserve de la désignation de chaque partie -, les juges cantonaux ont relevé que l'autorité de première instance avait considéré que A.________ et B.________, qui vivaient en concubinage, avaient besoin d'aide dans leur gestion administrative et financière, étant précisé qu'ils ne semblaient pas pouvoir bénéficier de l'appui de leur entourage, notamment de l'autre concubin, que l'assistance qui leur était actuellement apportée par le Centre social régional Jura-Nord vaudois (ci-après: CSR) était insuffisante et que la sauvegarde de leurs intérêts se trouvait en péril, ce d'autant que les intéressés ne paraissaient pas en mesure d'apprécier sainement la portée de leurs actes et de se déterminer de manière appropriée.</w:t>
      </w:r>
    </w:p>
    <w:p>
      <w:r>
        <w:t>Les juges cantonaux ont confirmé les décisions de première instance et ont retenu que les parties s'étaient retrouvées à plusieurs reprises dans une situation de précarité extrêmement importante alors qu'elles étaient parents de deux enfants, dont l'un était âgé de moins d'un an. Elles ne collaboraient pas avec le CSR ou à leur convenance, avaient refusé un logement pour des raisons de commodité, manquaient de transparence sur leur situation, contestaient pratiquement toutes les décisions rendues à leur endroit et leur situation financière paraissait des plus incertaines alors qu'elles devaient également assurer les besoins de leurs enfants. Par ailleurs, la multiplication de leurs actes devant la Chambre des curatelles, avec des contenus identiques, laissait entrevoir leurs difficultés à gérer les actes administratifs de la vie quotidienne, au point de se mettre parfois en danger. Bien que la curatrice eût confirmé que la situation administrative des intéressés était désormais sous contrôle, il apparaissait - en raison du comportement de ceux-ci et face à l'impuissance du CSR, qui était arrivé aux limites de l'aide qu'il pouvait fournir - que seule une mesure de curatelle telle que prononcée par le premier juge était en mesure de leur fournir l'assistance nécessaire afin de sauvegarder leurs intérêts. Selon les juges cantonaux, une telle mesure, au stade de la vraisemblance et au vu des circonstances, était d'ailleurs d'autant plus justifiée en présence de deux enfants en bas âge dont les besoins pourraient être mis en péril par les manquements de leurs parents.</w:t>
      </w:r>
    </w:p>
    <w:p>
      <w:r>
        <w:rPr>
          <w:b/>
        </w:rPr>
        <w:t>E. 5</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 Les affaires en cause doivent être essentielles pour la personne à protéger, de sorte que les difficultés qu'elle rencontre doivent avoir, pour elle, des conséquences importantes. Les intérêts touchés peuvent être d'ordre patrimonial ou personnel (arrêts 5A_417/2018 du 17 octobre 2018 consid. 4.2.1; 5A_844/2017 du 15 mai 2018 consid. 3.1 et les références).</w:t>
      </w:r>
    </w:p>
    <w:p>
      <w:r>
        <w:rPr>
          <w:b/>
        </w:rPr>
        <w:t>E. 6</w:t>
      </w:r>
    </w:p>
    <w:p>
      <w:r>
        <w:t>Les recourants se plaignent d'arbitraire dans l'établissement des faits ( art. 9 Cst. ).</w:t>
      </w:r>
    </w:p>
    <w:p>
      <w:r>
        <w:rPr>
          <w:b/>
        </w:rPr>
        <w:t>E. 6.1</w:t>
      </w:r>
    </w:p>
    <w:p>
      <w:r>
        <w:t>Ils soutiennent que, contrairement à ce qu'a retenu la cour cantonale, ils ne présenteraient aucun état de faiblesse et que ce serait une cause extérieure, à savoir la suppression de leur revenu, qui aurait eu pour conséquence de provoquer la situation litigieuse. Ils reprochent à cet égard à l'autorité cantonale de ne pas avoir tenu compte de plusieurs éléments qui seraient manifestement de nature à influencer la décision prise. Ainsi la curatrice aurait confirmé, au mois de mai 2020, que les choses étaient désormais rentrées dans l'ordre. En outre, un rapport du SPJ du 24 février 2020 et une décision de la juge de paix du 24 avril 2020 attesteraient que les intérêts des enfants ne seraient pas mis en danger par l'attitude de leurs parents. Les démarches administratives auraient par ailleurs toujours été entreprises avec le soutien mutuel des concubins. Finalement, les juges cantonaux n'auraient, à tort, pas tenu compte d'une décision du 7 mai 2020 de la Direction générale de la cohésion sociale (ci-après: DGCS).</w:t>
      </w:r>
    </w:p>
    <w:p>
      <w:r>
        <w:rPr>
          <w:b/>
        </w:rPr>
        <w:t>E. 6.2</w:t>
      </w:r>
    </w:p>
    <w:p>
      <w:r>
        <w:t>En l'espèce, le grief des recourants est irrecevable à plusieurs titres.</w:t>
      </w:r>
    </w:p>
    <w:p>
      <w:r>
        <w:t>Ainsi, les recourants se contentent d'affirmer de manière péremptoire que les faits qu'ils invoquent seraient " manifestement de nature à influencer la décision prise ", sans toutefois expliquer, de manière conforme au principe d'allégation, en quoi ils seraient propres à modifier cette décision, en particulier en quoi ils devraient l'emporter sur les faits retenus par l'autorité cantonale pour considérer comme réalisée la condition d'état de faiblesse figurant à l' art. 390 al. 1 ch. 1 CC . A cet égard, l'argumentation des recourants est appellatoire et, partant, irrecevable (cf.</w:t>
      </w:r>
    </w:p>
    <w:p>
      <w:r>
        <w:t>supra consid. 3.2.1).</w:t>
      </w:r>
    </w:p>
    <w:p>
      <w:r>
        <w:t>Par ailleurs, les recourants se réfèrent aux déterminations de la curatrice du mois de mai 2020, mentionnées dans l'arrêt déféré, sans expliquer en quoi elles auraient fait l'objet d'une appréciation arbitraire (cf.</w:t>
      </w:r>
    </w:p>
    <w:p>
      <w:r>
        <w:t>supra consid. 3.2.1).</w:t>
      </w:r>
    </w:p>
    <w:p>
      <w:r>
        <w:t>Finalement, les recourants échouent à démontrer que les faits dont ils entendent se prévaloir reposeraient sur des éléments de preuve valables. S'agissant ainsi du prétendu soutien mutuel entre concubins, ils n'exposent pas sur quels éléments de preuve l'autorité cantonale aurait dû s'appuyer pour retenir un tel fait. Par ailleurs, en tant qu'ils souhaitent voir constater que les intérêts des enfants ne seraient pas mis en danger par leur attitude, les recourants se fondent sur deux pièces non mentionnées dans l'état de fait cantonal et déclarées irrecevables (cf.</w:t>
      </w:r>
    </w:p>
    <w:p>
      <w:r>
        <w:t>supra consid. 3.3.2). Ils se bornent en outre à renvoyer de manière générale à une décision de la DGCS du 7 mai 2020, qui ne figure pas non plus dans l'état de fait cantonal et qui a également été déclarée irrecevable (cf.</w:t>
      </w:r>
    </w:p>
    <w:p>
      <w:r>
        <w:t>supra consid. 3.3.2).</w:t>
      </w:r>
    </w:p>
    <w:p>
      <w:r>
        <w:rPr>
          <w:b/>
        </w:rPr>
        <w:t>E. 7.1</w:t>
      </w:r>
    </w:p>
    <w:p>
      <w:r>
        <w:t>Les recourants se plaignent en outre du fait que la mesure prononcée porterait atteinte à leur droit à la liberté personnelle ( art. 10 Cst. ) en tant qu'elle ne remplirait pas les exigences posées à l' art. 36 Cst. pour la restreindre. Il en irait de même s'agissant du droit à la protection de leur sphère privée ( art. 13 Cst. ).</w:t>
      </w:r>
    </w:p>
    <w:p>
      <w:r>
        <w:rPr>
          <w:b/>
        </w:rPr>
        <w:t>E. 7.2</w:t>
      </w:r>
    </w:p>
    <w:p>
      <w:r>
        <w:t>Aux termes de l' art. 36 al. 1 Cst. , toute restriction d'un droit fondamental doit être fondée sur une base légale; les restrictions graves doivent être prévues par une loi ( ATF 139 I 280 consid. 5.1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 ATF 142 I 195 consid. 5.1).</w:t>
      </w:r>
    </w:p>
    <w:p>
      <w:r>
        <w:rPr>
          <w:b/>
        </w:rPr>
        <w:t>E. 7.3</w:t>
      </w:r>
    </w:p>
    <w:p>
      <w:r>
        <w:t>En l'espèce, et indépendamment de la recevabilité des griefs soulevés dès lors que les recourants ne démontrent pas en quoi ils auraient une portée propre par rapport aux règles du CC, force est de constater qu'ils ne remettent pas en question le fait que la curatelle repose sur une base légale au sens de l' art. 36 al. 1 Cst. Ils contestent néanmoins à cet égard l'existence d'une faiblesse qui leur serait inhérente, fait qui n'est toutefois pas pertinent dans le cadre de l'examen de la base légale et dont la question de l'établissement a au demeurant déjà été traitée précédemment (cf.</w:t>
      </w:r>
    </w:p>
    <w:p>
      <w:r>
        <w:t>supra consid. 6.2). S'agissant du critère de l'intérêt public, les recourants se bornent principalement à soutenir, de manière appellatoire, qu'ils ne mettraient pas en danger les intérêts de leurs enfants et que leur intérêt privé primerait sur un éventuel intérêt public. Ils fondent leur argumentation à cet égard sur des pièces irrecevables et se prévalent en outre de faits dont ils n'ont pas démontré en quoi ils auraient été établis de manière arbitraire par l'autorité cantonale. En ce qui concerne le caractère prétendument disproportionné de la mesure, c'est à nouveau de manière purement appellatoire que les recourants soutiennent que le principe de proportionnalité ne serait pas respecté en raison du fait que leur situation serait rentrée dans l'ordre après qu'ils eurent disposé d'un revenu leur permettant de subvenir à leurs besoins ou qu'ils seraient tout à fait capables de gérer seuls leur courrier.</w:t>
      </w:r>
    </w:p>
    <w:p>
      <w:r>
        <w:t>La motivation présentée par les recourants étant manifestement déficiente, elle est, partant, irrecevable (cf.</w:t>
      </w:r>
    </w:p>
    <w:p>
      <w:r>
        <w:t>supra consid. 2.1).</w:t>
      </w:r>
    </w:p>
    <w:p>
      <w:r>
        <w:rPr>
          <w:b/>
        </w:rPr>
        <w:t>E. 8</w:t>
      </w:r>
    </w:p>
    <w:p>
      <w:r>
        <w:t>En définitive, les recours sont irrecevables. Ceux-ci étant d'emblée voués à l'échec, les requêtes d'assistance judiciaire des recourants ne sauraient être agréées ( art. 64 al. 1 LTF ). Les frais judiciaires sont mis à la charge de chaque recourant, qui succombe ( art.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