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5A_622/2016 vom 1. September 2016</w:t>
      </w:r>
    </w:p>
    <w:p>
      <w:r>
        <w:t>Bundesgericht, 2016-09-01, FR</w:t>
      </w:r>
    </w:p>
    <w:p>
      <w:r>
        <w:rPr>
          <w:b/>
        </w:rPr>
        <w:t xml:space="preserve">Quelle: </w:t>
      </w:r>
      <w:r>
        <w:t>https://mcp.opencaselaw.ch/entscheid/bger_5A_622_2016</w:t>
      </w:r>
    </w:p>
    <w:p>
      <w:r>
        <w:t>FR: TF 5A_622/2016 du 1 septembre 2016</w:t>
      </w:r>
    </w:p>
    <w:p>
      <w:r>
        <w:t>IT: TF 5A_622/2016 del 1 settembre 2016</w:t>
      </w:r>
    </w:p>
    <w:p>
      <w:pPr>
        <w:pStyle w:val="Heading2"/>
      </w:pPr>
      <w:r>
        <w:t>Erwägungen</w:t>
      </w:r>
    </w:p>
    <w:p>
      <w:r>
        <w:rPr>
          <w:b/>
        </w:rPr>
        <w:t>E. 1</w:t>
      </w:r>
    </w:p>
    <w:p>
      <w:r>
        <w:t>Par arrêt du 11 août 2016, la Chambre de surveillance des Offices des poursuites et faillites de la Cour de justice du canton de Genève a admis partiellement une plainte formée le 23 mai 2016 par A.________ contre le procès-verbal de séquestre n° xxxxx établi le 14 avril 2016 à son encontre et a renvoyé la cause à l'Office des poursuites du canton de Genève pour une instruction complémentaire et une nouvelle décision.</w:t>
      </w:r>
    </w:p>
    <w:p>
      <w:r>
        <w:rPr>
          <w:b/>
        </w:rPr>
        <w:t>E. 2</w:t>
      </w:r>
    </w:p>
    <w:p>
      <w:r>
        <w:t>Par acte du 25 août 2016, A.________ interjette un recours en matière civile au Tribunal fédéral contre cette décision.</w:t>
      </w:r>
    </w:p>
    <w:p>
      <w:r>
        <w:rPr>
          <w:b/>
        </w:rPr>
        <w:t>E. 3</w:t>
      </w:r>
    </w:p>
    <w:p>
      <w:r>
        <w:t>L'arrêt attaqué est une décision de renvoi et, partant, une décision incidente qui ne porte en l'occurrence ni sur la compétence ni sur une question de récusation.</w:t>
      </w:r>
    </w:p>
    <w:p>
      <w:r>
        <w:t>Une telle décision peut faire l'objet d'un recours uniquement si elle peut causer un préjudice irréparable ( art. 93 al. 1 let. a LTF ) ou si l'admission du recours peut conduire immédiatement à une décision finale permettant d'éviter une procédure probatoire longue et coûteuse ( art. 93 al. 1 let. b LTF ). Un préjudice ne peut être qualifié d'irréparable que s'il cause un inconvénient de nature juridique. Tel est le cas lorsqu'une décision finale même favorable au recourant ne le ferait pas disparaître entièrement.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à moins que celui-ci ne fasse d'emblée aucun doute ( ATF 133 III 629 consid. 2.3.1). Une décision de renvoi ne cause en principe pas de préjudice irréparable.</w:t>
      </w:r>
    </w:p>
    <w:p>
      <w:r>
        <w:t>Il appartient également au recourant d'établir qu'une décision finale immédiate permettrait d'éviter une procédure probatoire longue et coûteuse, à moins que cela ne soit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cela ne suffit pas pour ouvrir le recours immédiat.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 2C_111/2011 du 7 juillet 2011 consid. 1.1.3).</w:t>
      </w:r>
    </w:p>
    <w:p>
      <w:r>
        <w:t>En l'espèce, le recourant n'a pas perçu le caractère incident de la décision de renvoi attaquée et ne démontre donc pas que les conditions légales pour un recours immédiat sont remplies. Il s'ensuit l'irrecevabilité du recours.</w:t>
      </w:r>
    </w:p>
    <w:p>
      <w:r>
        <w:rPr>
          <w:b/>
        </w:rPr>
        <w:t>E. 4</w:t>
      </w:r>
    </w:p>
    <w:p>
      <w:r>
        <w:t>Le recours est en conséquence déclaré irrecevable selon la procédure simplifiée de l' art. 108 al. 1 let. b LTF . Au vu de la nature de la cause, il est renoncé à percevoir des frais judiciaires ( art. 66 al. 1 LTF ). Dès lors que le recourant n'a pas élu de domicile en Suisse, l'exemplaire de l'arrêt lui étant destiné lui est notifié directement par courrier recommandé à son adresse en Hongrie.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