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5A_618/2019 vom 23. September 2019</w:t>
      </w:r>
    </w:p>
    <w:p>
      <w:r>
        <w:t>Bundesgericht, 2019-09-23, FR</w:t>
      </w:r>
    </w:p>
    <w:p>
      <w:r>
        <w:rPr>
          <w:b/>
        </w:rPr>
        <w:t xml:space="preserve">Quelle: </w:t>
      </w:r>
      <w:r>
        <w:t>https://mcp.opencaselaw.ch/entscheid/bger_5A_618_2019</w:t>
      </w:r>
    </w:p>
    <w:p>
      <w:r>
        <w:t>FR: TF 5A_618/2019 du 23 septembre 2019</w:t>
      </w:r>
    </w:p>
    <w:p>
      <w:r>
        <w:t>IT: TF 5A_618/2019 del 23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24 janvier 2019, le Tribunal de protection de l'adulte et de l'enfant a instauré un droit de regard et d'information en faveur des mineurs C.________ et D.________, nés respectivement en 2008 et 2009, et nommé une intervenante en protection de l'enfant et un chef de groupe aux fonctions de surveillants des mineurs en question.</w:t>
      </w:r>
    </w:p>
    <w:p>
      <w:r>
        <w:rPr>
          <w:b/>
        </w:rPr>
        <w:t>E. 2</w:t>
      </w:r>
    </w:p>
    <w:p>
      <w:r>
        <w:t>Par décision du 12 juillet 2019, la Chambre de surveillance de la Cour de justice du canton de Genève a déclaré irrecevable pour cause de tardiveté le recours interjeté par A.________, mère des mineurs concernés par la mesure de protection, contre l'ordonnance du 24 janvier 2019.</w:t>
      </w:r>
    </w:p>
    <w:p>
      <w:r>
        <w:rPr>
          <w:b/>
        </w:rPr>
        <w:t>E. 3</w:t>
      </w:r>
    </w:p>
    <w:p>
      <w:r>
        <w:t>Par acte du 6 août 2019, A.________ interjette un recours au Tribunal fédéral contre la décision du 12 juillet 2019.</w:t>
      </w:r>
    </w:p>
    <w:p>
      <w:r>
        <w:rPr>
          <w:b/>
        </w:rPr>
        <w:t>E. 4</w:t>
      </w:r>
    </w:p>
    <w:p>
      <w:r>
        <w:t>La présente écriture doit être traitée comme un recours en matière civile au Tribunal fédéral (art. 72 al. 2 let. b ch. 6 LTF). Il est superflu d'examiner les autres conditions de recevabilité, le procédé étant voué à l'échec.</w:t>
      </w:r>
    </w:p>
    <w:p>
      <w:r>
        <w:rPr>
          <w:b/>
        </w:rPr>
        <w:t>E. 5</w:t>
      </w:r>
    </w:p>
    <w:p>
      <w:r>
        <w:t>La recourante ne s'en prend en l'occurrence aucunement aux motifs qui ont conduit la cour cantonale à retenir que son recours était non seulement tardif, mais qu'il ne remplissait de surcroît pas les exigences de motivation de l' art. 450 al. 3 CC dès lors qu'il était dépourvu de tout grief contre l'ordonnance attaquée. Devant la Cour de céans, elle se contente, sans prendre de conclusions, de faire état d'une " vengeance personnelle " de la directrice de l'école que fréquente son fils cadet qui aurait conduite cette dernière à la dénoncer " sans motif légal " au Service de protection des mineurs et de solliciter qu'on lui indique l'autorité compétente pour qu'elle puisse porter plainte contre celle-ci. Dans ces circonstances, force est de constater que la présente écriture de recours ne satisfait aucunement aux exigences de motivation posées par les art. 42 al. 1 et 2 et 106 al. 2 LTF.</w:t>
      </w:r>
    </w:p>
    <w:p>
      <w:r>
        <w:rPr>
          <w:b/>
        </w:rPr>
        <w:t>E. 6</w:t>
      </w:r>
    </w:p>
    <w:p>
      <w:r>
        <w:t>Le recours doit en conséquence être déclaré irrecevable selon la procédure simplifiée de l' art. 108 al. 1 let. a et b LTF . Les frais judiciaires, arrêtés à 200 fr., sont mis à la charge de la recourante qui succombe en application de l' art. 66 al. 1 LTF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