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5A_617/2014 vom 1. Dezember 2014</w:t>
      </w:r>
    </w:p>
    <w:p>
      <w:r>
        <w:t>Bundesgericht, 2014-12-01, FR</w:t>
      </w:r>
    </w:p>
    <w:p>
      <w:r>
        <w:rPr>
          <w:b/>
        </w:rPr>
        <w:t xml:space="preserve">Quelle: </w:t>
      </w:r>
      <w:r>
        <w:t>https://mcp.opencaselaw.ch/entscheid/bger_5A_617_2014</w:t>
      </w:r>
    </w:p>
    <w:p>
      <w:r>
        <w:t>FR: TF 5A_617/2014 du 1 décembre 2014</w:t>
      </w:r>
    </w:p>
    <w:p>
      <w:r>
        <w:t>IT: TF 5A_617/2014 del 1 dicembre 2014</w:t>
      </w:r>
    </w:p>
    <w:p>
      <w:pPr>
        <w:pStyle w:val="Heading2"/>
      </w:pPr>
      <w:r>
        <w:t>Erwägungen</w:t>
      </w:r>
    </w:p>
    <w:p>
      <w:r>
        <w:rPr>
          <w:b/>
        </w:rPr>
        <w:t>E. 1</w:t>
      </w:r>
    </w:p>
    <w:p>
      <w:r>
        <w:t>Le recours a été déposé dans le délai légal ( art. 100 al. 1 LTF ) contre une décision rendue en matière de protection de l'adulte (art. 72 al. 2 let. b ch. 6 LTF) par une autorité cantonale de dernière instance ayant statué sur recours ( art. 75 al. 1 et 2 LTF ); la personne concernée, dûment représentée par son curateur ad hoc et dont les conclusions ont été rejetées par la juridiction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 art. 42 al. 2 LTF exige par ailleurs que le recourant discute au moins de manière succincte les considérants de la décision attaquée.</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133 II 249 consid. 1.2.2), doit démontrer, par une argumentation précise, en quoi consiste la violation ( art. 106 al. 2 LTF ; " principe d'allégation ").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130 I 258 consid. 1.3).</w:t>
      </w:r>
    </w:p>
    <w:p>
      <w:r>
        <w:rPr>
          <w:b/>
        </w:rPr>
        <w:t>E. 3.1</w:t>
      </w:r>
    </w:p>
    <w:p>
      <w:r>
        <w:t>La cour cantonale a retenu, sur la base des éléments mis en exergue par le rapport d'expertise du 9 janvier 2014, que la recourante souffrait d'un trouble délirant, qui rendait sa situation extrêmement précaire. Cette situation impliquait de procéder à toutes les démarches nécessaires pour assurer à la recourante un cadre de vie minimum et décent. A cet égard, la cause et la condition d'une curatelle de portée générale étaient réalisées. L'affection diagnostiquée constituait à l'évidence des troubles psychiques au sens de l' art. 390 al. 1 ch. 1 CC et le besoin particulier d'aide de la recourante était avéré sur les plans social et administratif, dès lors qu'elle n'était pas en mesure de gérer seule ses affaires sans les compromettre ni de défendre ses intérêts patrimoniaux et personnels de manière adéquate en raison du trouble dont elle souffre. Tout en reconnaissant que la recourante avait entrepris une démarche thérapeutique à laquelle elle adhérait et qu'il s'agissait d'un progrès indéniable, d'autant plus qu'une bonne alliance thérapeutique avait pu être développée, la cour cantonale a toutefois relevé que, selon les experts, si elle percevait et reconnaissait chez elle la présence d'une souffrance dépressive, la recourante n'avait pas de conscience morbide s'agissant de son trouble psychotique. De plus, toujours aux dires des experts, le trouble délirant était connu pour être une pathologie psychiatrique difficile d'accès thérapeutique. Enfin, la pléthore de courriers adressés par la recourante démontrait que cette dernière n'avait pas conscience de sa pathologie et qu'elle n'était pas d'accord avec une mesure de soutien, ni capable de collaborer efficacement avec un représentant. De par l'étendue de l'aide nécessitée en l'état, seule une mesure de curatelle de portée générale était susceptible de répondre à l'ensemble des besoins de la recourante, une mesure moins incisive paraissant d'emblée insuffisante pour la protéger contre les conséquences de sa pathologie. En effet, la recourante avait une fausse perception de ses intérêts, nécessitant que l'exercice des droits civils lui soit retiré. Le soutien social apporté par le GRAAP n'était pas non plus suffisant, cet organisme soulignant d'ailleurs la difficulté de la situation sur les plans juridique, social et financier et qu'il ne serait pas en mesure d'assumer une curatelle. La cour cantonale a néanmoins relevé que, si la mesure de curatelle de portée générale se révélait dans un premier temps indispensable, la situation de la recourante était susceptible d'évoluer favorablement et qu'il appartiendrait alors à l'autorité de protection de réexaminer la nécessité et l'adéquation de la mesure.</w:t>
      </w:r>
    </w:p>
    <w:p>
      <w:r>
        <w:rPr>
          <w:b/>
        </w:rPr>
        <w:t>E. 3.2</w:t>
      </w:r>
    </w:p>
    <w:p>
      <w:r>
        <w:t>La recourante soutient que la mesure de curatelle litigieuse est " manifestement disproportionnée "et " parfaitement inutile ", dès lors notamment qu'elle " a eu spontanément recours à des personnalités compétentes, qu'elle contacte régulièrement et avec lesquelles l'alliance thérapeutique est bonne ". Selon elle, la collaboration d'un curateur " risque[rait] (...) d'aboutir à un échec ". Elle ne changerait en tous les cas rien à ses conditions de vie, qu'elle admet être " des plus difficiles ". Elle avait du reste, en l'absence de curateur, tout fait pour obtenir un revenu d'insertion, toutefois sans succès; un curateur ne parviendrait pas à un autre résultat, dans la mesure où elle possède un bien immobilier en France; un curateur ne l'empêcherait pas non plus de continuer à envoyer d'innombrables lettres et courriels; enfin, il n'aurait aucune fortune à préserver, puisqu'elle n'en a pas.</w:t>
      </w:r>
    </w:p>
    <w:p>
      <w:r>
        <w:rPr>
          <w:b/>
        </w:rPr>
        <w:t>E. 4.1</w:t>
      </w:r>
    </w:p>
    <w:p>
      <w:r>
        <w:t>L'autorité de protection de l'adulte prend les mesures indiquées pour garantir l'assistance et la protection de la personne qui a besoin d'aide ( art. 388 CC ), dans le respect des principes de subsidiarité et de proportionnalité ( art. 389 CC ).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 art. 389 al. 1 CC ; Message du Conseil fédéral du 28 juin 2006 concernant la révision du Code civil suisse (protection de l'adulte, droit des personnes et droit de la filiation), FF 2006 6635 [6676]; ci-après: Message).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 art. 389 al. 2 CC ; ATF 140 III 49 consid. 4.3). La mesure ordonnée doit donc se trouver en adéquation avec le but fixé, représenter l'atteinte la plus faible possible pour être compatible avec celui-ci et rester dans un rapport raisonnable entre lui et l'atteinte engendrée (arrêt 5A_318/2013 du 12 juin 2013 consid. 2.4 et la référence citée; cf. ég. ATF 140 III 49 consid. 4.3.1). Les tâches à accomplir dans le cadre de la mesure ordonnée doivent ensuite être déterminées en fonction des besoins de la personne concernée ( art. 391 al. 1 CC ). Le principe de proportionnalité veut aussi que l'autorité tienne compte des intérêts légitimes des tiers et considère la charge que la personne concernée représente pour son entourage ( art. 390 al. 2 CC ). Ces intérêts peuvent justifier l'adoption d'une mesure plus incisive, mais ne peuvent jamais être la cause d'une mesure (Paul-Henri Steinauer/Christiana Fountoulakis, Droit des personnes physiques et de la protection de l'adulte, 2014, n° 1141, p. 510).</w:t>
      </w:r>
    </w:p>
    <w:p>
      <w:r>
        <w:rPr>
          <w:b/>
        </w:rPr>
        <w:t>E. 4.2</w:t>
      </w:r>
    </w:p>
    <w:p>
      <w:r>
        <w:t>La curatelle de portée générale ( art. 398 CC ) a remplacé l'interdiction prévue par l'art. 369 al. 1 aCC, qui avait toujours pour conséquence l'institution d'une tutelle (Message, FF 2006 6635 [6681]). Selon la jurisprudence rendue sous l'empire de cette disposition - qui conserve sur ce point toute sa pertinence -, pour respecter les principes de subsidiarité et de proportionnalité, la mesure tutélaire (soit actuellement la mesure de curatelle de portée générale) doit avoir l'efficacité recherchée tout en sauvegardant au maximum la sphère de liberté de l'intéressé. Son but est de le protéger contre lui-même et contre l'exploitation par des tiers. Une mesure est disproportionnée si elle est trop radicale ou trop légère pour parvenir à cette fin. Dans l'hypothèse où, compte tenu des conditions légales, plusieurs mesures paraissent propres à atteindre le but visé, il y a lieu de choisir celle qui empiète le moins sur la sphère de liberté de l'intéressé. Le principe de subsidiarité n'implique toutefois pas que les mesures les plus graves ne puissent être ordonnées qu'après l'application, l'épuisement et l'échec des mesures plus légères. La mesure ordonnée doit en tout état de cause être aussi légère que possible et aussi efficace que nécessaire (arrêts 5A_12/2012 du 20 mars 2012 consid. 3.1 et les références citées; 5A_627/2011 du 16 avril 2012 consid. 3.2; Steinauer/Fountoulakis, op. cit., n° 1140, p. 509).</w:t>
      </w:r>
    </w:p>
    <w:p>
      <w:r>
        <w:t>Pour pouvoir instituer une curatelle de portée générale, il faut dans un premier temps que la personne concernée soit majeure ( PATRICK FASSBIND, Erwachsenenschutz, 2012, p. 228; Steinauer/Fountoulakis, op. cit., n° 126, p. 40) et qu'un cas de curatelle au sens de l' art. 390 CC soit donné (Philippe Meier/Suzana Lukic, Introduction au nouveau droit de la protection de l'adulte, 2011, no 508 p. 230). L'intéressé doit dès lors soit être dans un état de faiblesse personnelle (déficience mentale, troubles psychiques ou autre état de faiblesse) qui justifie qu'une mesure de protection soit ordonnée et qui l'empêche de sauvegarder lui-même ses intérêts ( art. 390 al. 1 ch. 1 CC ), soit être empêché d'agir lui-même, en raison d'une incapacité de discernement passagère ou pour cause d'absence, pour des affaires qui doivent être réglées et pour lesquelles il n'a pas nommé de représentant ( art. 390 al. 1 ch. 2 CC ).</w:t>
      </w:r>
    </w:p>
    <w:p>
      <w:r>
        <w:t>Pour ce qui a trait plus particulièrement à la condition d' "état de faiblesse personnelle", celle-ci se réfère aux personnes qui souffrent de "déficience mentale", de "troubles psychiques" ou d' "un autre état de faiblesse" qui affecte leur condition personnelle. Les deux premières notions ont remplacé respectivement celle de "faiblesse d'esprit"et celle de "maladie mentale" utilisées sous l'ancien droit, de sorte que la jurisprudence appliquée sous l'empire de celui-ci peut leur être transposée (Message, FF 2006 6635 [6676], ch. 2.2.2 ad art. 390 CC ; Steinauer/Fountoulakis, op. cit., n° 130a, p. 42). Le terme de "déficience mentale" se réfère aux déficiences de l'intelligence, congénitales ou acquises, de degrés divers, alors que l'expression "trouble psychique" englobe toutes les pathologies mentales reconnues en psychiatrie, à savoir les psychoses et les psychopathies ayant des causes physiques ou encores les démences, notamment la démence sénile. Enfin, la notion plus large d' "autre état de faiblesse qui affecte [la] condition personnelle" permet de protéger par le biais d'une telle mesure également les personnes âgées souffrant de déficiences similaires, ainsi que celles qui souffrent de graves handicaps physiques ou ne peuvent gérer leurs affaires conformément à leurs intérêts en raison d'une faiblesse de caractère ou d'une profonde inexpérience (Message, FF 2006 6635 [6676], ch. 2.2.2 ad art. 390 CC ; Meier/Lukic, op. cit., no 404 pp. 192-193; Helmut Henkel,</w:t>
      </w:r>
    </w:p>
    <w:p>
      <w:r>
        <w:t>in: Basler Kommentar, Erwachsenenschutz, 2012, n°s 12-14</w:t>
      </w:r>
    </w:p>
    <w:p>
      <w:r>
        <w:t>ad</w:t>
      </w:r>
    </w:p>
    <w:p>
      <w:r>
        <w:t>art. 390 CC ).</w:t>
      </w:r>
    </w:p>
    <w:p>
      <w:r>
        <w:rPr>
          <w:b/>
        </w:rPr>
        <w:t>E. 4.3</w:t>
      </w:r>
    </w:p>
    <w:p>
      <w:r>
        <w:t>Les notions de "déficience mentale" et de "troubles psychiques"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(Steinauer/Fountoulakis, op. cit., n° 131, p. 42). Pour l'aider dans sa prise de position quant à cette question, l'autorité peut faire procéder à une expertise médicale si elle l'estime nécessaire ( art. 446 al. 2 CC ). Elle reste toutefois libre dans son interprétation de celle-ci qui ne la lie ni en fait ni en droit. L'opportunité de solliciter l'avis d'un expert dépend du type de mesure envisagée mais une expertise médicale s'avère en principe indispensable lorsqu'il s'agit de limiter l'exercice des droits civils d'une personne en raison d'un trouble psychique ou d'une déficience mentale et qu'aucun membre de l'autorité n'a les compétences médicales nécessaires ( ATF 140 III 97 consid. 4; arrêt 5A_211/2014 du 14 juillet 2014 consid. 3.2.1; Message, FF 2006 6635 [6711], n° 2.3.1 ad art. 446; Meier/Lukic, op. cit., no 403 p. 192; Christoph Auer/Michèle Marti,</w:t>
      </w:r>
    </w:p>
    <w:p>
      <w:r>
        <w:t>in: Basler Kommentar, Erwachsenenschutz, 2012, n° 19</w:t>
      </w:r>
    </w:p>
    <w:p>
      <w:r>
        <w:t>ad</w:t>
      </w:r>
    </w:p>
    <w:p>
      <w:r>
        <w:t>art. 446 CC ; Steinauer/Fountoulakis, op. cit., n° 1100,          pp. 490-491).</w:t>
      </w:r>
    </w:p>
    <w:p>
      <w:r>
        <w:rPr>
          <w:b/>
        </w:rPr>
        <w:t>E. 4.4</w:t>
      </w:r>
    </w:p>
    <w:p>
      <w:r>
        <w:t>Si l'un des deux cas de curatelle de l' art. 390 al. 1 CC est donné, il faut ensuite dans un deuxième temps que la condition spécifique à la curatelle de portée générale de l' art. 398 al. 1 CC soit remplie, à savoir que la personne concernée ait "particulièrement besoin d'aide". Dès lors que le Message rappelle expressément que la curatelle de portée générale est une</w:t>
      </w:r>
    </w:p>
    <w:p>
      <w:r>
        <w:t>ultima ratio , la condition de l' art. 398 al. 1 CC doit être comprise en ce sens qu'aucune des autres formes de curatelle prévues aux art. 393 à 396 CC ou combinaison de ces curatelles ( art. 397 CC ) ne suffise à apporter la protection requise (FF 2006 6635 [6681]; Steinauer/Fountoulakis, op. cit., n° 155, p. 52; Henkel, op. cit., n° 5</w:t>
      </w:r>
    </w:p>
    <w:p>
      <w:r>
        <w:t>ad</w:t>
      </w:r>
    </w:p>
    <w:p>
      <w:r>
        <w:t>art. 398 CC ; Fassbind, op. cit., p. 245). Cette forme de curatelle doit être envisagée en particulier pour les personnes durablement incapables de discernement comme le rappelle l'art. 398 al. 1</w:t>
      </w:r>
    </w:p>
    <w:p>
      <w:r>
        <w:t>in fine CC. L'incapacité de discernement n'est toutefois ni une condition ni, à elle seule, un critère suffisant pour le prononcé d'une telle mesure (Steinauer/Fountoulakis, op. cit., n° 155, p. 52; Meier/Lukic, op. cit., nos 510 et 511 pp. 230-231; Fassbind, op. cit., p. 246</w:t>
      </w:r>
    </w:p>
    <w:p>
      <w:r>
        <w:t>in initio ).</w:t>
      </w:r>
    </w:p>
    <w:p>
      <w:r>
        <w:rPr>
          <w:b/>
        </w:rPr>
        <w:t>E. 5</w:t>
      </w:r>
    </w:p>
    <w:p>
      <w:r>
        <w:t>En l'espèce, la cour cantonale a fondé son argumentation essentiellement sur les éléments mis en exergue par le rapport d'expertise du 9 janvier 2014. Compte tenu de la mesure dont le prononcé était envisagé et de la nature du trouble de la recourante, le recours à une expertise était effectivement indispensable (cf.</w:t>
      </w:r>
    </w:p>
    <w:p>
      <w:r>
        <w:t>supra consid 4.3). La recourante ne s'en prend toutefois aucunement au contenu de l'expertise dans son recours. L'autorité cantonale a ainsi constaté à juste titre que la recourante souffrait d'un trouble délirant et que l'affection diagnostiquée constituait à l'évidence un trouble psychique au sens de l' art. 390 al. 1 ch. 1 CC . Le besoin particulier d'aide de la recourante était en outre avéré sur les plans social et administratif, dès lors qu'elle n'était pas en mesure de gérer seule ses affaires sans les compromettre ni de défendre ses intérêts patrimoniaux et personnels de manière adéquate en raison du trouble dont elle souffre. La recourante admet d'ailleurs elle-même dans son recours que ses conditions de vie sont " des plus difficiles ". La cause et toutes les conditions propres à ordonner une curatelle de portée générale à l'égard de la recourante sont ainsi à l'évidence réalisées. La mesure apparaît en outre appropriée. En effet, bien que l'autorité cantonale ait constaté que la recourante perçoit et reconnaît chez elle la présence d'une souffrance dépressive, ce qui l'a conduite à entreprendre une démarche thérapeutique à laquelle elle adhère, il ressort toutefois du rapport d'expertise qu'elle n'a pas de conscience morbide s'agissant de son trouble psychotique puisqu'elle est persuadée que le problème vient de l'extérieur et plus particulièrement "des personnes et systèmes persécuteurs qui l'agress[ent]". De plus, toujours aux dires des experts, le trouble délirant est connu pour être une pathologie psychiatrique difficile d'accès thérapeutique. Enfin, la cour cantonale a également retenu à juste titre que la pléthore de courriers envoyés par la recourante démontre que cette dernière n'a pas conscience de sa pathologie et qu'elle n'est pas d'accord avec une mesure de soutien, ni capable de collaborer efficacement avec un représentant. Il importe à cet égard peu qu'un curateur ne serait pas en mesure de l'empêcher d'envoyer ces courriers, comme elle le prétend. C'est également à raison que la cour cantonale a retenu que seule une mesure de curatelle de portée générale était susceptible de répondre à l'ensemble des besoins de la recourante, une mesure moins incisive paraissant d'emblée insuffisante pour la protéger contre les conséquences de sa pathologie, compte tenu de l'étendue de l'aide nécessitée en l'état et de la perception erronée qu'elle a de ses propres intérêts. A cet égard, le GRAAP a d'ailleurs souligné la difficulté de la situation de la recourante sur les plans juridique, social et financier et son incapacité à assumer une curatelle, de sorte que le soutien social apporté par cet organisme apparaît effectivement insuffisant. Le fait qu'un tel organisme se déclare dans l'incapacité d'aider efficacement la recourante reflète de surcroît la complexité de la situation de cette dernière et l'étendue de son besoin d'assistance. Son incapacité à sauvegarder elle-même ses intérêts est également illustrée par le fait que la recourante se retrouve actuellement sans logement fixe ni ressources financières puisqu'elle a elle-même admis avoir d'importantes dettes d'impôts, d'assurance-maladie et de frais de justice et mal s'alimenter en raison de son manque d'argent. Elle est en outre aux prises avec d'innombrables démarches et démêlés judiciaires ainsi que d'incessants conflits avec les services sociaux, générés selon les experts par sa pathologie qui la pousse à se débattre de manière désordonnée pour obtenir raison et à agir ainsi contre ses propres intérêts. Il convient cependant de rappeler, à l'instar de la cour cantonale, que la situation de la recourante est susceptible d'évoluer favorablement, de sorte que la nécessité et l'adéquation de la mesure ordonnée pourront être réexaminés par l'autorité de protection de l'adulte. En définitive, il ressort de ce qui précède que les conditions nécessaires au prononcé d'une mesure de curatelle de portée générale sont remplies et que seule une telle mesure est, en l'état, apte à protéger la recourante efficacement. Le grief de violation du principe de proportionnalité doit par conséquent être rejeté.</w:t>
      </w:r>
    </w:p>
    <w:p>
      <w:r>
        <w:rPr>
          <w:b/>
        </w:rPr>
        <w:t>E. 6</w:t>
      </w:r>
    </w:p>
    <w:p>
      <w:r>
        <w:t>Il découle de ce qui précède que le recours est mal fondé et doit être rejeté dans la faible mesure de sa recevabilité. Au vu des circonstances, le présent arrêt peut être rendu sans frais (art. 66 al. 1 seconde phr. LTF), ce qui rend la demande d'assistance judiciaire sans objet.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