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5A_616/2025 vom 8. Oktober 2025</w:t>
      </w:r>
    </w:p>
    <w:p>
      <w:r>
        <w:t>Bundesgericht, 2025-10-08, DE</w:t>
      </w:r>
    </w:p>
    <w:p>
      <w:r>
        <w:rPr>
          <w:b/>
        </w:rPr>
        <w:t xml:space="preserve">Quelle: </w:t>
      </w:r>
      <w:r>
        <w:t>https://mcp.opencaselaw.ch/entscheid/bger_5A_616_2025</w:t>
      </w:r>
    </w:p>
    <w:p>
      <w:r>
        <w:t>FR: TF 5A_616/2025 du 8 octobre 2025</w:t>
      </w:r>
    </w:p>
    <w:p>
      <w:r>
        <w:t>IT: TF 5A_616/2025 del 8 ottobre 2025</w:t>
      </w:r>
    </w:p>
    <w:p>
      <w:pPr>
        <w:pStyle w:val="Heading2"/>
      </w:pPr>
      <w:r>
        <w:t>Erwägungen</w:t>
      </w:r>
    </w:p>
    <w:p>
      <w:r>
        <w:rPr>
          <w:b/>
        </w:rPr>
        <w:t>E. 1</w:t>
      </w:r>
    </w:p>
    <w:p>
      <w:r>
        <w:t>Im Streit um Nebenpunkte, namentlich hinsichtlich Kostenfragen, folgt der Rechtsweg an das Bundesgericht demjenigen der Hauptsache, soweit dafür keine besonderen Verfahrenswege vorgeschrieben sind ( BGE 134 I 159 E. 1.1; 138 III 94 E. 2.2; Urteile 4A_630/2020 vom 24. März 2022 E. 2; 5D_78/2022 vom 31. Oktober 2022 E. 1.2). Dies trifft im Übrigen auch auf damit zusammenhängende Gesuche um Fristwiederherstellung zu (Urteil 5A_888/2017 vom 8. Januar 2017 E. 1). Somit ist vorliegend die Beschwerde in Zivilsachen gegeben ( Art. 72 Abs. 1 und Art. 75 Abs. 1 BGG ).</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Soweit der Beschwerdeführer dem Familiengericht Muri vorwirft, er werde ignoriert und diskreditiert und das Kind werde ihm bewusst entfremdet, steht dies ausserhalb des möglichen Anfechtungsgegenstandes (Wiederherstellung der Fristen zur Leistung des Kostenvorschusses für das kantonale Beschwerdeverfahren).</w:t>
      </w:r>
    </w:p>
    <w:p>
      <w:r>
        <w:t>In Bezug auf diesen Gegenstand listet der Beschwerdeführer eine Vielzahl von Verfassungsbestimmungen und von strafrechtlichen Normen auf, aber er setzt sich nicht mit den Erwägungen des angefochtenen Entscheides auseinander, wonach glaubhaft zu machen gewesen wäre, dass ihn kein oder nur ein leichtes Verschulden an der verspäteten Zahlung getroffen habe, und wonach die verbleibende Zeit zur Leistung der ersten Rate zwar knapp gewesen sei, er sich aber nicht beim Gericht gemeldet habe, dass er die Rate nicht fristgerecht werde leisten können, und er auch nicht hinreichend substanziiert habe, inwiefern die Frist aufgrund seiner wirtschaftlichen Verhältnisse zu kurz gewesen wäre. Mit dem blossen Hinweis, sein Lohn sei erst am 6. Mai 2025 gekommen und er habe deshalb nicht früher bezahlen können, ist jedenfalls keine Rechtsverletzung in Bezug auf die Abweisung des Fristwiederherstellungsgesuches dargetan.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