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5A_615/2019 vom 23. Dezember 2019</w:t>
      </w:r>
    </w:p>
    <w:p>
      <w:r>
        <w:t>Bundesgericht, 2019-12-23, FR</w:t>
      </w:r>
    </w:p>
    <w:p>
      <w:r>
        <w:rPr>
          <w:b/>
        </w:rPr>
        <w:t xml:space="preserve">Quelle: </w:t>
      </w:r>
      <w:r>
        <w:t>https://mcp.opencaselaw.ch/entscheid/bger_5A_615_2019</w:t>
      </w:r>
    </w:p>
    <w:p>
      <w:r>
        <w:t>FR: TF 5A_615/2019 du 23 décembre 2019</w:t>
      </w:r>
    </w:p>
    <w:p>
      <w:r>
        <w:t>IT: TF 5A_615/2019 del 23 dicembre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fédéral examine d'office la recevabilité des recours qui lui sont soumis ( ATF 145 II 168 consid. 1; 144 II 184 consid. 1).</w:t>
      </w:r>
    </w:p>
    <w:p>
      <w:r>
        <w:rPr>
          <w:b/>
        </w:rPr>
        <w:t>E. 1.1</w:t>
      </w:r>
    </w:p>
    <w:p>
      <w:r>
        <w:t>La contribution de l'enfant des parties a été fixée d'entente entre elles, par convention du 6 avril 2009. Cette convention a été homologuée par la Justice de paix du district de l'Ouest lausannois le 28 mai 2009 ( art. 287 al. 1 CC ).</w:t>
      </w:r>
    </w:p>
    <w:p>
      <w:r>
        <w:t>La demande introduite par l'intimée vise ainsi la modification du montant de cette contribution et non sa " fixation " comme le laisse entendre l'intitulé de l'écriture déposé devant le premier juge, étant précisé que les principes relatifs à la modification des contributions d'entretien de l'enfant s'appliquent également lorsqu'il s'agit de modifier les contributions fixées par convention homologuée, sauf exception non réalisée en l'espèce ( art. 287 al. 2 CC ; arrêts 5A_672/2017 du 20 avril 2018 consid. 3.1; 5A_90/2017 du 24 août 2017 consid. 3.4 et les références).</w:t>
      </w:r>
    </w:p>
    <w:p>
      <w:r>
        <w:t>La requête de mesures provisionnelles, objet de la présente procédure de recours, a été formée préalablement à cette demande de modification; elle s'insère dans le cadre de cette dernière procédure.</w:t>
      </w:r>
    </w:p>
    <w:p>
      <w:r>
        <w:rPr>
          <w:b/>
        </w:rPr>
        <w:t>E. 1.2</w:t>
      </w:r>
    </w:p>
    <w:p>
      <w:r>
        <w:t>Il est établi que les mesures provisionnelles relatives à une procédure en modification (ou en complément) d'un jugement de divorce constituent des mesures d'exécution anticipée dont le sort sera réglé dans le jugement de modification au fond ( ATF 130 I 347 consid. 3.2), partant des décisions incidentes qui ne sont sujettes à recours immédiat que si elles sont propres à entraîner un préjudice irréparable ( art. 93 al. 1 let. a LTF ; arrêts 5A_858/2017 du 6 avril 2018 consid. 2.2 et les références; 5A_902/2012 du 23 octobre 2013 consid. 1.3; 5A_732/2012 du 4 décembre 2012 consid. 3.2), l'hypothèse couverte par l' art. 93 al. 1 let. b LTF étant manifestement exclue.</w:t>
      </w:r>
    </w:p>
    <w:p>
      <w:r>
        <w:t>Il n'y a pas lieu de qualifier différemment des mesures provisionnelles relatives à une procédure en modification d'une contribution d'entretien de l'enfant fixée par convention homologuée. Celles-ci sont ainsi des mesures d'exécution anticipée, en sorte que, si l'action en modification de la contribution d'entretien est admise, les contributions provisionnelles versées constitueront des " à-valoir " sur la créance de l'enfant, alors que, dans le cas inverse, elles devront être remboursées au défendeur.</w:t>
      </w:r>
    </w:p>
    <w:p>
      <w:r>
        <w:rPr>
          <w:b/>
        </w:rPr>
        <w:t>E. 1.2.1</w:t>
      </w:r>
    </w:p>
    <w:p>
      <w:r>
        <w:t>Le préjudice irréparable au sens de l' art. 93 al. 1 let. a LTF doit être de nature juridique et ne pas pouvoir être entièrement réparé ultérieurement par une décision finale favorable au recourant; un dommage économique ou de pur fait n'est pas considéré comme un préjudice de cette nature ( ATF 141 III 80 consid. 1.2 et les arrêts cités). Il appartient au recourant d'alléguer et d'établir la possibilité que la décision incidente lui cause un tel dommage ( ATF 134 III 426 consid. 1.2), à moins que celui-ci ne fasse d'emblée aucun doute ( art. 42 al. 2 LTF ; ATF 141 III 80 consid. 1.2; 138 III 46 consid. 1.2).</w:t>
      </w:r>
    </w:p>
    <w:p>
      <w:r>
        <w:rPr>
          <w:b/>
        </w:rPr>
        <w:t>E. 1.2.2</w:t>
      </w:r>
    </w:p>
    <w:p>
      <w:r>
        <w:t>Les éléments ressortant de la décision attaquée ne laissent pas apparaître qu'à l'évidence, les mesures provisionnelles ordonnées seraient propres à entraîner pour le recourant un préjudice irréparable au sens sus-décrit. L'intéressé, qui a ici méconnu le caractère incident de la décision entreprise, ne motive au demeurant nullement l'existence d'un tel dommage en sorte que son recours doit être déclaré irrecevable.</w:t>
      </w:r>
    </w:p>
    <w:p>
      <w:r>
        <w:rPr>
          <w:b/>
        </w:rPr>
        <w:t>E. 2</w:t>
      </w:r>
    </w:p>
    <w:p>
      <w:r>
        <w:t>Vu l'issue du recours, la requête d'assistance judiciaire du recourant doit être rejetée ( art. 64 LTF ) et les frais judiciaires mis à sa charge ( art. 66 al. 1 LTF ). Il n'y a pas lieu d'allouer de dépens à l'intimée, qui a partiellement succombé s'agissant de l'effet suspensif et n'a pas été invitée à se déterminer sur le fond ( art. 68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