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5A_615/2011 vom 5. Dezember 2011</w:t>
      </w:r>
    </w:p>
    <w:p>
      <w:r>
        <w:t>Bundesgericht, 2011-12-05, FR</w:t>
      </w:r>
    </w:p>
    <w:p>
      <w:r>
        <w:rPr>
          <w:b/>
        </w:rPr>
        <w:t xml:space="preserve">Quelle: </w:t>
      </w:r>
      <w:r>
        <w:t>https://mcp.opencaselaw.ch/entscheid/bger_5A_615_2011</w:t>
      </w:r>
    </w:p>
    <w:p>
      <w:r>
        <w:t>FR: TF 5A_615/2011 du 5 décembre 2011</w:t>
      </w:r>
    </w:p>
    <w:p>
      <w:r>
        <w:t>IT: TF 5A_615/2011 del 5 dicembre 2011</w:t>
      </w:r>
    </w:p>
    <w:p>
      <w:pPr>
        <w:pStyle w:val="Heading2"/>
      </w:pPr>
      <w:r>
        <w:t>Erwägungen</w:t>
      </w:r>
    </w:p>
    <w:p>
      <w:r>
        <w:rPr>
          <w:b/>
        </w:rPr>
        <w:t>E. 1</w:t>
      </w:r>
    </w:p>
    <w:p>
      <w:r>
        <w:t>Interjeté en temps utile ( art. 100 al. 1 LTF ), ainsi que dans les formes légales ( art. 42 al. 1 et 2 LTF ), par des parties qui ont été déboutées en dernière instance cantonale ( art. 76 al. 1 LTF et art. 75 al. 1 LTF ), contre une décision finale ( art. 90 LTF ), prise en application des normes en matière de protection de l'enfant (art. 72 al. 2 let. b ch. 7 LTF), le recours en matière civile est recevable au regard de ces dispositions.</w:t>
      </w:r>
    </w:p>
    <w:p>
      <w:r>
        <w:t>En outre, les recourants - âgés de quinze ans -, dès lors qu'ils sont capables de discernement et exercent des droits strictement personnels, ont la capacité d'ester en justice et sont habilités à mandater un avocat pour les représenter (cf. arrêt 5A_357/2011 du 7 octobre 2011 consid. 6.1).</w:t>
      </w:r>
    </w:p>
    <w:p>
      <w:r>
        <w:rPr>
          <w:b/>
        </w:rPr>
        <w:t>E. 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 ATF 133 IV 286 consid. 1.4; 133 II 249 consid. 1.4.2). Le Tribunal fédéral n'entre pas en matière sur les critiques de nature appellatoire ( ATF 133 II 396 consid. 3).</w:t>
      </w:r>
    </w:p>
    <w:p>
      <w:r>
        <w:t>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Les faits et moyens de preuve nouveaux sont prohibés, à moins de résulter de la décision de l'autorité précédente ( art. 99 al. 1 LTF ).</w:t>
      </w:r>
    </w:p>
    <w:p>
      <w:r>
        <w:rPr>
          <w:b/>
        </w:rPr>
        <w:t>E. 3</w:t>
      </w:r>
    </w:p>
    <w:p>
      <w:r>
        <w:t>En substance, la cour cantonale a jugé que la mesure de protection ordonnant la thérapie n'était entachée d'aucun vice formel, en particulier qu'elle avait été prise dans le cadre d'une procédure d'enquête en limitation de l'autorité parentale, qu'elle ne consacrait pas de violations du droit d'être entendu et avait été rendue par une autorité tutélaire compétente. Sur le fond, elle a jugé qu'en raison de l'âge des enfants, il y avait lieu d'écarter la mise en ?uvre d'une expertise préalable qui ne pourrait être rendue que peu de temps avant l'accession des enfants à la majorité, ce qui ôterait toute pertinence à une reprise de l'exercice du droit de visite. Elle a ajouté qu'une nouvelle expertise ne se justifiait en outre pas dès lors que rien n'indiquait que la situation avait véritablement évolué depuis son arrêt du 4 septembre 2008. Elle a par ailleurs considéré que la détérioration de la situation confirmait l'importance de tout mettre en ?uvre pour rétablir l'image paternelle et que la thérapie ordonnée était susceptible d'atteindre ce but, notamment en permettant au père de rencontrer ses fils et de renouer une relation dans un cadre bien défini. Enfin, elle a estimé que l'institution choisie pour l'exercer paraissait la solution la plus adéquate en l'espèce.</w:t>
      </w:r>
    </w:p>
    <w:p>
      <w:r>
        <w:rPr>
          <w:b/>
        </w:rPr>
        <w:t>E. 4</w:t>
      </w:r>
    </w:p>
    <w:p>
      <w:r>
        <w:t>Les recourants ne remettent en cause cet arrêt qu'en tant que la mesure ordonnée ne respecterait pas les principes de la proportionnalité et de la subsidiarité.</w:t>
      </w:r>
    </w:p>
    <w:p>
      <w:r>
        <w:rPr>
          <w:b/>
        </w:rPr>
        <w:t>E. 4.1</w:t>
      </w:r>
    </w:p>
    <w:p>
      <w:r>
        <w:t>Le principe de la proportionnalité est la pierre angulaire du système de protection civile de l'enfant, la mesure ordonnée devant notamment être apte à atteindre le but de protection visé et nécessaire à cette fin (principe de la proportionnalité au sens étroit; MEIER, in: Commentaire romand, 2010, n° 33 s. ad Intro. art. 307 à 315b CC). En outre le prononcé de toute mesure protectrice (cf. art. 307 al. 1 CC ) suppose que le danger menaçant le bien de l'enfant ne puisse être prévenu par les père et mère eux-mêmes (cf. art. 307 al. 1 CC ), ni par des mesures plus limitées (principe de la subsidiarité; arrêt 5A_840/2010 du 31 mai 2011 consid. 3.1.1; arrêt 5C.284/2005 du 31 janvier 2006 consid. 3.1 publié in FamPra.ch 2006 p. 477; ATF 119 II 9 consid. 4a). L'autorité qui ordonne une mesure de protection de l'enfant dispose à cet égard d'un large pouvoir d'appréciation ( art. 4 CC ; arrêt 5A_656/2010 du 13 janvier 2011 consid. 3). Le choix de la mesure nécessite en effet une part importante d'anticipation et de pronostic quant à l'évolution des circonstances déterminantes ( ATF 120 II 384 consid. 4d); il dépendra de toutes les données concrètes du cas, non seulement sous l'angle juridique, mais aussi en fonction des aspects sociaux, médicaux et éducatifs de la situation et de la constellation familiale (MEIER, op. cit., n° 34 ad Intro. art. 307 à 315b CC; BREITSCHMID, Basler Kommentar, 2010, n° 3 ad art. 307 CC ). Le Tribunal fédéral s'impose dès lors une certaine retenue en la matière: iI n'intervient que si l'autorité cantonale a pris en considération des éléments qui ne jouent aucun rôle au sens de la loi ou a omis de tenir compte de facteurs essentiels ( ATF 132 III 178 consid. 5.1; 130 III 571 consid. 4.3; 127 III 136 consid. 3a; arrêt 5A_840/2010 du 31 mai 2011 consid. 3.1.2).</w:t>
      </w:r>
    </w:p>
    <w:p>
      <w:r>
        <w:rPr>
          <w:b/>
        </w:rPr>
        <w:t>E. 4.2</w:t>
      </w:r>
    </w:p>
    <w:p>
      <w:r>
        <w:t>Les recourants se plaignent tout d'abord de ce que la cour cantonale a considéré qu'une nouvelle expertise pédopsychiatrique n'était pas nécessaire puisque la situation n'avait pas changé depuis son arrêt du 4 septembre 2008, faisant valoir qu'ils n'ont en réalité plus été vus par un expert psychiatre depuis août 2005. Ils avancent ensuite que l'expertise d'octobre 2005 sur laquelle s'était fondée la cour cantonale n'est plus d'actualité puisqu'ils sont désormais des adolescents de quinze ans, qu'ils ont vécu depuis lors avec leur mère ainsi que, depuis deux ans, également avec le compagnon de cette dernière et qu'enfin, depuis l'expertise, le divorce de leurs parents a été prononcé par convention et la situation conjugale conflictuelle a cessé. Ils en déduisent que seule une nouvelle expertise serait en mesure de renseigner sur l'efficacité d'éventuelles mesures de protection à ordonner. Les recourants reprochent ensuite à la cour cantonale d'avoir considéré qu'une expertise retarderait trop la prise d'une mesure alors que, seul leur intérêt entrant en considération, il convient d'être certain de prendre la meilleure mesure de protection en leur faveur. Enfin, le choix d'une thérapie sans expertise préalable, en se fondant sur l'état d'esprit qu'ils manifestaient il y a six ans, constitue, selon eux, la mesure la plus lourde dès lors qu'elle ne tient pas compte de leur évolution et ne leur laisse aucune possibilité d'expression. Ils avancent encore que le succès de toute mesure dépend principalement de leur bonne volonté de sorte qu'il pourrait s'avérer dangereux de les soumettre à une thérapie contre leur gré.</w:t>
      </w:r>
    </w:p>
    <w:p>
      <w:r>
        <w:rPr>
          <w:b/>
        </w:rPr>
        <w:t>E. 4.3</w:t>
      </w:r>
    </w:p>
    <w:p>
      <w:r>
        <w:t>En l'espèce, les enfants souffrent d'un syndrome d'aliénation parentale. Dans son arrêt du 4 septembre 2008, la cour cantonale a jugé que, dans la mesure où l'opposition et les croyances négatives que les enfants avaient envers leur père résultaient pour l'essentiel de la maltraitance psychologique opérée par leur mère, il y avait lieu de ne pas exclure un droit de visite mais de mettre en place un dispositif pour son exercice incluant par exemple l'intervention d'un professionnel et un suivi thérapeutique. Les autorités de protection de l'enfant ont ainsi dans un premier temps ordonné la reprise d'un droit de visite encadré par la CRV et jugé que le suivi psychiatrique des enfants par leur thérapeute, la doctoresse E.________, était suffisant. Ce n'est qu'après l'échec de cette première mesure, les enfants ayant clairement indiqué ne pas vouloir rencontrer leur père ni sa famille, que la thérapie en cause a été ordonnée. On ne voit dès lors pas en quoi la cour cantonale se serait écartée du principe de la subsidiarité.</w:t>
      </w:r>
    </w:p>
    <w:p>
      <w:r>
        <w:t>S'agissant du principe de la proportionnalité, l'argumentation des recourants ne remet pas en cause l'importance qu'il y a à réhabiliter l'image paternelle. Ils réclament en revanche que l'efficacité de la mesure ordonnée soit examinée dans le cadre d'une expertise avant sa mise en ?uvre. Cela étant, s'ils s'appuient sur l'avis de leur thérapeute pour réclamer une expertise préalable, ils ne se prévalent d'aucun élément permettant de douter de la nécessité de la mesure ordonnée ou de son aptitude à atteindre le but visé, à savoir leur permettre de renouer une relation avec leur père dans un cadre bien défini. En particulier, ils n'allèguent pas qu'une évolution du syndrome dont ils souffrent serait intervenue. Sur ce point, la cour cantonale a du reste considéré que rien n'indiquait que la situation aurait évolué depuis la dernière expertise psychiatrique; faisant référence à l'opposition qu'ils ont manifestée lors de la tentative de rétablir un droit de visite avec leur père, elle a au contraire constaté une atrophie de la situation. En tant que les recourants allèguent l'écoulement du temps, leur nouveau cadre de vie ainsi que la cessation du conflit conjugal, ils n'invoquent pas d'éléments susceptibles de démontrer qu'il y aurait eu une évolution significative de leur état d'esprit vis-à-vis de leur père. En outre, s'ils prétendent qu'il existe un danger qu'ils réagissent mal à la mesure ordonnée, cette assertion n'est corroborée par aucune offre de preuve ni confirmée par leur thérapeute. Il s'ensuit que l'appréciation de la cour cantonale, selon laquelle l'ordonnance d'une expertise préalable retarderait trop la mise en ?uvre de la thérapie, un droit de visite devant être rétabli avant l'accession des enfants à la majorité - ne prête pas le flanc à la critique. Le recours doit donc être rejeté.</w:t>
      </w:r>
    </w:p>
    <w:p>
      <w:r>
        <w:rPr>
          <w:b/>
        </w:rPr>
        <w:t>E. 5</w:t>
      </w:r>
    </w:p>
    <w:p>
      <w:r>
        <w:t>Sur le vu de ce qui précède, le recours doit être rejeté. Les conclusions des recourants étant dépourvues de toutes chances de succès, leur requête d'assistance judiciaire doit être rejetée ( art. 64 al. 1 LTF ) et les frais judiciaires mis à leur charge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