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5A_614/2018 vom 12. September 2018</w:t>
      </w:r>
    </w:p>
    <w:p>
      <w:r>
        <w:t>Bundesgericht, 2018-09-12, DE</w:t>
      </w:r>
    </w:p>
    <w:p>
      <w:r>
        <w:rPr>
          <w:b/>
        </w:rPr>
        <w:t xml:space="preserve">Quelle: </w:t>
      </w:r>
      <w:r>
        <w:t>https://mcp.opencaselaw.ch/entscheid/bger_5A_614_2018</w:t>
      </w:r>
    </w:p>
    <w:p>
      <w:r>
        <w:t>FR: TF 5A_614/2018 du 12 septembre 2018</w:t>
      </w:r>
    </w:p>
    <w:p>
      <w:r>
        <w:t>IT: TF 5A_614/2018 del 12 settembre 2018</w:t>
      </w:r>
    </w:p>
    <w:p>
      <w:pPr>
        <w:pStyle w:val="Heading2"/>
      </w:pPr>
      <w:r>
        <w:t>Erwägungen</w:t>
      </w:r>
    </w:p>
    <w:p>
      <w:r>
        <w:rPr>
          <w:b/>
        </w:rPr>
        <w:t>E. 1.1</w:t>
      </w:r>
    </w:p>
    <w:p>
      <w:r>
        <w:t>Angefochten ist der kantonal letztinstanzliche Entscheid in einer Erwachsenenschutzsache (Art. 72 Abs. 2 lit. b Ziff. 6 und Art. 75 Abs. 1 BGG ). Die KESB hat während eines Hauptverfahrens vorsorgliche Massnahmen erlassen, die nur für die Dauer des Hauptverfahrens Bestand haben. Damit schliesst der angefochtene Entscheid das erstinstanzliche kantonale Verfahren nicht ab, so dass es sich um einen Zwischenentscheid handelt ( BGE 138 III 76 E. 1.2; 137 III 324 E. 1.1). Dies gilt auch mit Bezug auf die vorliegend streitige (internationale) Zuständigkeit (Urteil 4A_340/2018 vom 10. September 2018 E. 1, zur Publikation vorgesehen).</w:t>
      </w:r>
    </w:p>
    <w:p>
      <w:r>
        <w:rPr>
          <w:b/>
        </w:rPr>
        <w:t>E. 1.2</w:t>
      </w:r>
    </w:p>
    <w:p>
      <w:r>
        <w:t>Gegen Zwischenentscheide betreffend vorsorgliche Massnahmen im Sinne von Art. 98 BGG fällt die Zulässigkeit der Beschwerde nach Art. 93 Abs. 1 lit. b BGG von vornherein ausser Betracht und steht die Beschwerde nur offen, wenn sie einen nicht wieder gutzumachenden Nachteil bewirken können ( Art. 93 Abs. 1 lit. a BGG ). Dabei muss es sich um einen Nachteil rechtlicher Natur handeln, der auch durch einen für den Beschwerdeführer günstigen Entscheid in der Zukunft nicht mehr behoben werden kann ( BGE 143 III 416 E. 1.3; 141 III 80 E. 1.2; 138 III 46 E. 1.2; je mit Hinweisen). Rein tatsächliche Nachteile wie die Verlängerung oder Verteuerung des Verfahrens reichen nicht aus ( BGE 142 III 798 E. 2.2; 138 III 190 E. 6; 137 III 380 E. 1.2.1; je mit Hinweisen). Die selbständige Anfechtbarkeit von Zwischenentscheiden bildet aus prozessökonomischen Gründen eine Ausnahme vom Grundsatz, dass sich das Bundesgericht mit jeder Angelegenheit nur einmal befassen soll ( BGE 142 III 798 E. 2.2; 141 III 80 E. 1.2; je mit Hinweisen). Die Ausnahme ist restriktiv zu handhaben ( BGE 138 III 94 E. 2.2; 134 III 188 E. 2.2). Es obliegt dem Beschwerdeführer darzutun, dass und inwiefern die Eintretensvoraussetzungen von Art. 93 BGG erfüllt sind, soweit deren Vorliegen nicht offensichtlich in die Augen springt ( BGE 141 III 80 E. 1.2</w:t>
      </w:r>
    </w:p>
    <w:p>
      <w:r>
        <w:t>in fine ; 137 III 522 E. 1.3</w:t>
      </w:r>
    </w:p>
    <w:p>
      <w:r>
        <w:t>in fine mit Hinweis).</w:t>
      </w:r>
    </w:p>
    <w:p>
      <w:r>
        <w:rPr>
          <w:b/>
        </w:rPr>
        <w:t>E. 1.3</w:t>
      </w:r>
    </w:p>
    <w:p>
      <w:r>
        <w:t>Der Beschwerdeführer verkennt den Charakter des angefochtenen Entscheids und äussert sich mit keinem Wort zu den hiervor dargelegten Eintretensvoraussetzungen; dass diese erfüllt wären, springt auch nicht offensichtlich in die Augen. Damit kann auf die Beschwerde nicht eingetreten werden.</w:t>
      </w:r>
    </w:p>
    <w:p>
      <w:r>
        <w:rPr>
          <w:b/>
        </w:rPr>
        <w:t>E. 2</w:t>
      </w:r>
    </w:p>
    <w:p>
      <w:r>
        <w:t>Bei diesem Ausgang des Verfahrens unterliegt der Beschwerdeführer. Er ist kosten- ( Art. 66 Abs. 1 BGG ), nicht aber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