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5A_614/2014 vom 20. November 2014</w:t>
      </w:r>
    </w:p>
    <w:p>
      <w:r>
        <w:t>Bundesgericht, 2014-11-20, FR</w:t>
      </w:r>
    </w:p>
    <w:p>
      <w:r>
        <w:rPr>
          <w:b/>
        </w:rPr>
        <w:t xml:space="preserve">Quelle: </w:t>
      </w:r>
      <w:r>
        <w:t>https://mcp.opencaselaw.ch/entscheid/bger_5A_614_2014</w:t>
      </w:r>
    </w:p>
    <w:p>
      <w:r>
        <w:t>FR: TF 5A_614/2014 du 20 novembre 2014</w:t>
      </w:r>
    </w:p>
    <w:p>
      <w:r>
        <w:t>IT: TF 5A_614/2014 del 20 novembre 2014</w:t>
      </w:r>
    </w:p>
    <w:p>
      <w:pPr>
        <w:pStyle w:val="Heading2"/>
      </w:pPr>
      <w:r>
        <w:t>Erwägungen</w:t>
      </w:r>
    </w:p>
    <w:p>
      <w:r>
        <w:rPr>
          <w:b/>
        </w:rPr>
        <w:t>E. 1</w:t>
      </w:r>
    </w:p>
    <w:p>
      <w:r>
        <w:t>La décision entreprise, qui statue provisoirement sur l'attribution du droit de garde d'un enfant né hors mariage, est une décision prise en application de normes de droit public dans une matière connexe au droit civil, à savoir en matière de protection de l'enfant (art. 72 al. 2 let. b ch. 7 LTF; arrêts 5A_701/2011 du 12 mars 2012 consid. 1.1; 5A_763/2011 du 7 mars 2012 consid. 1; 5A_457/2009 du 9 décembre 2009 consid. 1.1). La question soumise au Tribunal fédéral est de nature non pécuniaire, de sorte que le recours est ouvert indépendamment de la valeur litigieuse (arrêts 5A_773/2012 du 31 janvier 2013 consid. 1</w:t>
      </w:r>
    </w:p>
    <w:p>
      <w:r>
        <w:t>in fine ; 5A_366/2010 du 4 janvier 2011 consid. 1.1). Par ailleurs, le recours a été interjeté dans le délai (art. 46 al. 2 et 100 al. 1 LTF) et la forme ( art. 42 LTF ) prévus par la loi, contre une décision rendue sur recours par une autorité supérieure statuant en dernière instance cantonale ( art. 75 al. 1 et 2 LTF ).</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Il incombe à la partie recourante d'alléguer les faits qu'elle considère comme propres à fonder sa qualité pour recourir au Tribunal fédéral selon l' art. 76 LTF , lorsqu'ils ne ressortent pas à l'évidence de la décision attaquée ou du dossier de la cause ( ATF 138 III 537 consid. 1.2 p. 539; 133 II 353 consid. 1 p. 356). En l'occurrence, la mère exerce un recours en matière civile, en son nom propre et pour " sa fille B.________ ". A la lecture de la décision attaquée, il apparaît que la condition prise de la participation à la procédure devant l'autorité précédente (let. a) fait manifestement défaut en ce qui concerne l'enfant mineure qui n'a pas participé à la procédure devant les autorités inférieures. Au surplus, la mère n'expose pas en quoi le présent recours serait recevable au nom de sa fille, dont elle détient l'autorité parentale, mais présente uniquement son propre intérêt à recourir. Le recours est en conséquence irrecevable en tant qu'il est interjeté au nom et pour le compte de l'enfant B.A.________. Pour sa part, la mère, A.A.________, a pris part à la procédure en qualité de recourante devant la Chambre de surveillance et a été déboutée, de sorte qu'elle a un intérêt à l'annulation ou la modification de la décision entreprise. Il s'ensuit que la recourante A.A.________ a qualité pour former un recours en matière civile au sens de l' art. 76 al. 1 LTF .</w:t>
      </w:r>
    </w:p>
    <w:p>
      <w:r>
        <w:rPr>
          <w:b/>
        </w:rPr>
        <w:t>E. 2</w:t>
      </w:r>
    </w:p>
    <w:p>
      <w:r>
        <w:t>Les "clauses-péril" rendues par le SPMi en vertu de l'art. 12 al. 7 de la Loi genevoise sur l'office de l'enfance et de la jeunesse (LOJeun; RSGe J 6. 05) doivent être qualifiées de décisions d'urgence au sens de l' art. 315a al. 3 ch. 2 CC . Il s'ensuit que la décision de ratification de la "clause-péril" rendue par le TPAE en attendant la reddition d'un rapport constitue, de par sa nature, des mesures provisionnelles au sens de l' art. 98 LTF ( ATF 133 III 393 consid. 5 p. 396). Le Tribunal fédéral dispose d'un pouvoir d'examen limité, seule la violation des droits constitutionnels pouvant être invoquée. Le Tribunal fédéral n'examine en outre les griefs de violation de droits constitutionnels que s'ils ont été invoqués et motivés ("principe d'allégation",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3</w:t>
      </w:r>
    </w:p>
    <w:p>
      <w:r>
        <w:t>Le recours a pour objet la prise en considération de la bonne foi de la recourante, eu égard à l'indication erronée des voies de droit indiquées dans la décision du Tribunal de protection de l'adulte et de l'enfant.</w:t>
      </w:r>
    </w:p>
    <w:p>
      <w:r>
        <w:rPr>
          <w:b/>
        </w:rPr>
        <w:t>E. 4</w:t>
      </w:r>
    </w:p>
    <w:p>
      <w:r>
        <w:t>La recourante soulève le grief selon lequel son droit fondamental à la protection de la bonne foi ( art. 5 Cst. ) aurait été violé. Il faut donc déterminer si, conseillée par un avocat, elle aurait dû comprendre à la seule lecture de la loi et de la décision du TPAE que la cause était susceptible de faire l'objet uniquement du recours limité au droit, dans le délai de dix jours.</w:t>
      </w:r>
    </w:p>
    <w:p>
      <w:r>
        <w:rPr>
          <w:b/>
        </w:rPr>
        <w:t>E. 4.1</w:t>
      </w:r>
    </w:p>
    <w:p>
      <w:r>
        <w:t>On déduit du principe général de la bonne foi, consacré à l' art. 5 al. 3 Cst. , que les parties ne doivent subir aucun préjudice en raison d'une indication inexacte des voies de droit ( ATF 117 Ia 297 consid. 2; 421 consid. 2c). Seul peut toutefois bénéficier de la protection de la bonne foi celui qui ne pouvait pas constater l'inexactitude de la voie de droit indiquée, même avec la diligence qu'on pouvait attendre de lui ( ATF 138 I 49 consid. 8.3.2 et arrêt 4A_35/2014 du 28 mai 2014 consid. 3.2 non publié in ATF 140 III 267 ).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 ATF 138 I 49 consid. 8.3.2 p. 54; 135 III 489 consid. 4.4 p. 494; 134 I 199 consid. 1.3.1 p. 202); il est attendu de l'avocat qu'il lise la législation applicable (arrêt 2C_657/2013 du 1</w:t>
      </w:r>
    </w:p>
    <w:p>
      <w:r>
        <w:t>er novembre 2013 consid. 2.2).</w:t>
      </w:r>
    </w:p>
    <w:p>
      <w:r>
        <w:rPr>
          <w:b/>
        </w:rPr>
        <w:t>E. 4.2</w:t>
      </w:r>
    </w:p>
    <w:p>
      <w:r>
        <w:t>En l'espèce, la décision de première instance ne mentionne nullement - même de manière implicite - qu'il s'agirait d'un prononcé de nature provisionnelle, puisque cette autorité considère elle-même - au demeurant à tort (</w:t>
      </w:r>
    </w:p>
    <w:p>
      <w:r>
        <w:t>cf. supra consid. 2) - qu'elle ne l'est pas. La recourante et son conseil ne pouvaient donc pas déduire des termes de l'ordonnance du 10 avril 2014 que le prononcé constituait des mesures provisionnelles. Quant aux textes de loi, ni la LOJeun, ni le CC n'indiquent que la ratification d'une clause-péril constitue une décision de mesures provisionnelles. En particulier, les articles de loi cités dans les voies de droit de la décision de première instance, à savoir les art. 314 al. 1, 450 et 450b al. 1 CC, concernent une décision finale, non provisoire. La recourante et son avocate ne pouvaient donc pas, à la seule lecture de la loi et de la décision entreprise, sans consulter la jurisprudence, déceler la nature provisionnelle de l'ordonnance, partant, l'indication erronée des voies de droit. Vu les circonstances particulières d'espèce, le recours doit donc être admis, sans qu'il soit nécessaire d'examiner les autres griefs soulevés dans le recours, et la cause renvoyée à l'autorité cantonale pour nouvelle décision.</w:t>
      </w:r>
    </w:p>
    <w:p>
      <w:r>
        <w:rPr>
          <w:b/>
        </w:rPr>
        <w:t>E. 5</w:t>
      </w:r>
    </w:p>
    <w:p>
      <w:r>
        <w:t>Vu ce qui précède, le recours est irrecevable en tant qu'il est interjeté au nom de l'enfant B.A.________. Le recours doit être admis en tant qu'il est interjeté par A.A.________, la décision attaquée annulée et la cause renvoyée à l'autorité précédente pour nouvelle décision. Il n'y a pas lieu de percevoir de frais judiciaires ( art. 66 al. 4 LTF ). Vu le sort du recours, le canton de Genève versera au conseil de la recourante A.A.________ une indemnité à titre de dépens de 1'000 fr. pour la procédure fédérale ( art. 68 al. 1 et 2 LTF ). La requête d'assistance judiciaire de la recourante A.A.________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