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5A_610/2020 vom 4. August 2020</w:t>
      </w:r>
    </w:p>
    <w:p>
      <w:r>
        <w:t>Bundesgericht, 2020-08-04, DE</w:t>
      </w:r>
    </w:p>
    <w:p>
      <w:r>
        <w:rPr>
          <w:b/>
        </w:rPr>
        <w:t xml:space="preserve">Quelle: </w:t>
      </w:r>
      <w:r>
        <w:t>https://mcp.opencaselaw.ch/entscheid/bger_5A_610_2020</w:t>
      </w:r>
    </w:p>
    <w:p>
      <w:r>
        <w:t>FR: TF 5A_610/2020 du 4 août 2020</w:t>
      </w:r>
    </w:p>
    <w:p>
      <w:r>
        <w:t>IT: TF 5A_610/2020 del 4 agosto 2020</w:t>
      </w:r>
    </w:p>
    <w:p>
      <w:pPr>
        <w:pStyle w:val="Heading2"/>
      </w:pPr>
      <w:r>
        <w:t>Erwägungen</w:t>
      </w:r>
    </w:p>
    <w:p>
      <w:r>
        <w:rPr>
          <w:b/>
        </w:rPr>
        <w:t>E. 1</w:t>
      </w:r>
    </w:p>
    <w:p>
      <w:r>
        <w:t>Angefochten ist ein kantonal letztinstanzlicher Entscheid betreffend Gewährung der unentgeltlichen Rechtspflege ( Art. 75 Abs. 1 BGG ). Dieser ist ein Zwischenentscheid, der einen nicht wieder gutzumachenden Nachteil im Sinne von Art. 93 Abs. 1 Bst. a BGG bewirken kann bzw. unabhängig von einem solchen anfechtbar ist ( BGE 143 I 344 E. 1.2 S. 346; 138 IV 258 E. 1.1 S. 261; 135 III 127 E. 1.3 S. 129); der Rechtsweg folgt demjenigen in der Hauptsache ( BGE 137 III 380 E. 1.1 S. 382; Urteil 5A_988/2019 vom 3. Juni 2020 E. 2.2). Bei dieser handelt es sich um eine kindesrechtliche Angelegenheit, gegen welche die Beschwerde in Zivilsache offen stünde ( Art. 72 Abs. 1 BGG ). Folglich ist sie auch in Bezug auf die unentgeltliche Rechtspflege gegeben.</w:t>
      </w:r>
    </w:p>
    <w:p>
      <w:r>
        <w:rPr>
          <w:b/>
        </w:rPr>
        <w:t>E. 2</w:t>
      </w:r>
    </w:p>
    <w:p>
      <w:r>
        <w:t>Eine überlange Verfahrensdauer liegt vor, wenn eine im Gesetz festgelegte Behandlungsfrist überschritten wird. Enthält das Gesetz keinen Massstab für eine rasche Verfahrenserledigung, entscheidet eine Behörde oder ein Gericht gemäss Rechtsprechung nicht innert angemessener Frist, wenn sie länger benötigt, als dies nach der Natur der Sache und nach der Gesamtheit der übrigen Umstände als adäquat erscheint ( BGE 130 I 269 E. 3.1 S. 273; 131 V 407 E. 1.1 S. 409; Urteile 9C_523/2015 vom 10. November 2015 E. 3.2.1; 9C_831/2019 vom 3. Februar 2020 E. 4.2).</w:t>
      </w:r>
    </w:p>
    <w:p>
      <w:r>
        <w:rPr>
          <w:b/>
        </w:rPr>
        <w:t>E. 3</w:t>
      </w:r>
    </w:p>
    <w:p>
      <w:r>
        <w:t>Wie sich aus der Sachverhaltsdarstellung ergibt und sowohl der Bezirksrat als auch das Obergericht zutreffend erwogen haben, hat die KESB umgehend die nötigen Zuständigkeitsabklärungen getroffen und den Vater laufend informiert, insbesondere auch über den Impfausweis. Eine Rechtsverzögerung liegt entgegen der Behauptung des Beschwerdeführers nicht vor, nicht einmal ansatzweise, und entsprechend war die bereits kurz nach der Verfahrenseinleitung erhobene Rechtsverzögerungsbeschwerde offensichtlich aussichtslos, zumal der Beschwerdeführer für den gewünschten "Vorort-Termin" es bei einem nicht näher spezifizierten Hinweis auf die "Schweizerische ZPO" bewenden lässt. Entsprechend ist keine Rechtsverletzung ersichtlich, wenn für das betreffende Verfahren keine unentgeltliche Rechtspflege gewährt wurde, denn es war offenkundig von Anfang an aussichtslos ( Art. 117 lit. b BGG ).</w:t>
      </w:r>
    </w:p>
    <w:p>
      <w:r>
        <w:rPr>
          <w:b/>
        </w:rPr>
        <w:t>E. 4</w:t>
      </w:r>
    </w:p>
    <w:p>
      <w:r>
        <w:t>Nach dem Gesagten ist die vorliegend beim Bundesgericht erhobene Beschwerde offensichtlich unbegründet, weshalb sie im vereinfachten Verfahren nach Art. 109 Abs. 2 lit. a BGG abzuweisen ist.</w:t>
      </w:r>
    </w:p>
    <w:p>
      <w:r>
        <w:rPr>
          <w:b/>
        </w:rPr>
        <w:t>E. 5</w:t>
      </w:r>
    </w:p>
    <w:p>
      <w:r>
        <w:t>Die Gerichtskosten sind dem Beschwerdeführer aufzuerlegen ( Art. 66 Abs. 1 BGG ). Ein Gesuch um unentgeltliche Rechtspflege wurde nicht gestellt und es hätte ihm auch kein Erfolg beschieden sein können, weil die vorliegende Beschwerde ebenfalls von Anfang an aussichtslos war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