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5A_60/2008 vom 26. Juni 2008</w:t>
      </w:r>
    </w:p>
    <w:p>
      <w:r>
        <w:t>Bundesgericht, 2008-06-26, FR</w:t>
      </w:r>
    </w:p>
    <w:p>
      <w:r>
        <w:rPr>
          <w:b/>
        </w:rPr>
        <w:t xml:space="preserve">Quelle: </w:t>
      </w:r>
      <w:r>
        <w:t>https://mcp.opencaselaw.ch/entscheid/bger_5A_60_2008</w:t>
      </w:r>
    </w:p>
    <w:p>
      <w:r>
        <w:t>FR: TF 5A_60/2008 du 26 juin 2008</w:t>
      </w:r>
    </w:p>
    <w:p>
      <w:r>
        <w:t>IT: TF 5A_60/2008 del 26 giugno 2008</w:t>
      </w:r>
    </w:p>
    <w:p>
      <w:pPr>
        <w:pStyle w:val="Heading2"/>
      </w:pPr>
      <w:r>
        <w:t>Erwägungen</w:t>
      </w:r>
    </w:p>
    <w:p>
      <w:r>
        <w:rPr>
          <w:b/>
        </w:rPr>
        <w:t>E. 1.1</w:t>
      </w:r>
    </w:p>
    <w:p>
      <w:r>
        <w:t>L'action en protection de la personnalité est une contestation civile portant sur un droit de nature non pécuniaire, qui peut faire l'objet d'un recours en matière civile en vertu de l' art. 72 al. 1 LTF (5A_78/2007 du 24 août 2007 consid. 1; cf., sous l'empire de l' art. 44 OJ , ATF 110 II 411 consid. 1 et 127 III 481 consid. 1a). Le recours est dirigé contre une décision finale ( art. 90 LTF ) rendue par l'autorité cantonale de dernière instance ( art. 75 al. 1 LTF ); il émane de la partie qui a succombé partiellement dans ses conclusions en instance cantonale ( art. 76 al. 1 LTF ) et il a été déposé en temps utile, compte tenu de la suspension des délais durant les féries du 18 décembre au 2 janvier ( art. 46 al. 1 let . c et 100 al. 1 LTF); partant, il est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à l' art. 42 al.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133 IV 150 consid. 1.2). Il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Les faits nouveaux et les preuves nouvelles sont prohibés, à moins de résulter de la décision de l'autorité précédente ( art. 99 al. 1 LTF ).</w:t>
      </w:r>
    </w:p>
    <w:p>
      <w:r>
        <w:t>En ce qui concerne l'établissement des faits et l'appréciation des preuves, le Tribunal fédéral se montre réservé, vu le large pouvoir qu'il reconnaît en ce domaine aux autorités cantonales. Il n'intervient, du chef de l' art. 9 Cst. , que si le juge n'a manifestement pas compris le sens et la portée d'un moyen de preuve, s'il a omis, sans raison sérieuse, de tenir compte de preuves pertinentes ou encore s'il a effectué, sur la base des éléments recueillis, des déductions insoutenables; encore faut-il que la décision attaquée en soit viciée dans son résultat ( ATF 129 I 8 consid. 2.1; 127 I 38 consid. 2a et les arrêts cités).</w:t>
      </w:r>
    </w:p>
    <w:p>
      <w:r>
        <w:rPr>
          <w:b/>
        </w:rPr>
        <w:t>E. 2</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2.1</w:t>
      </w:r>
    </w:p>
    <w:p>
      <w:r>
        <w:t>Il résulte de cette dernière disposition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 ATF 134 III 193 consid. 4.6).</w:t>
      </w:r>
    </w:p>
    <w:p>
      <w:r>
        <w:rPr>
          <w:b/>
        </w:rPr>
        <w:t>E. 2.2</w:t>
      </w:r>
    </w:p>
    <w:p>
      <w:r>
        <w:t>Il y a atteinte à la personnalité au sens de l' 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 art. 173 CP . Pour juger objectivement si une déclaration, dans un article de presse par exemple, porte atteinte à la considération d'une personne, il faut se placer du point de vue d'un lecteur moyen et tenir compte des circonstances concrètes qui entourent la publication, soit le contexte ou le cadre dans lequel l'article a paru (arrêt 5A_78/2007 du 24 août 2007 consid. 4 publié in: sic! 12/2007 p. 895; ATF 129 III 49 consid. 2.2; 127 III 481 consid. 2b/aa; 126 III 209 consid. 3a in fine et les arrêts cités).</w:t>
      </w:r>
    </w:p>
    <w:p>
      <w:r>
        <w:rPr>
          <w:b/>
        </w:rPr>
        <w:t>E. 2.3</w:t>
      </w:r>
    </w:p>
    <w:p>
      <w:r>
        <w:t>La presse peut atteindre quelqu'un dans sa personnalité de deux manières: d'une part en relatant des faits, d'autre part en les appréciant ( ATF 129 III 49 consid. 2.2; 126 III 305 consid. 4b et les arrêts cités).</w:t>
      </w:r>
    </w:p>
    <w:p>
      <w:r>
        <w:rPr>
          <w:b/>
        </w:rPr>
        <w:t>E. 2.3.1</w:t>
      </w:r>
    </w:p>
    <w:p>
      <w:r>
        <w:t>La diffusion de faits vrais n'est inadmissible que si les faits en question font partie de la sphère secrète ou privée ou si la personne concernée est rabaissée de manière inadmissible parce que la forme de la description est inutilement blessante.</w:t>
      </w:r>
    </w:p>
    <w:p>
      <w:r>
        <w:t>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129 III 49 consid. 2.2, 529 consid. 3.1; 126 III 305 consid. 4b/aa et les arrêts cités).</w:t>
      </w:r>
    </w:p>
    <w:p>
      <w:r>
        <w:t>Les faits justificatifs prouvés par l'auteur de la violation peuvent en supprimer le caractère illicite.</w:t>
      </w:r>
    </w:p>
    <w:p>
      <w:r>
        <w:rPr>
          <w:b/>
        </w:rPr>
        <w:t>E. 2.3.2</w:t>
      </w:r>
    </w:p>
    <w:p>
      <w:r>
        <w:t>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 ATF 126 III 305 consid. 4b/bb et les références).</w:t>
      </w:r>
    </w:p>
    <w:p>
      <w:r>
        <w:rPr>
          <w:b/>
        </w:rPr>
        <w:t>E. 2.4</w:t>
      </w:r>
    </w:p>
    <w:p>
      <w:r>
        <w:t>Le Tribunal fédéral revoit avec retenue l'appréciation de l'instance cantonale dans la pondération entre l'intérêt de la victime à la protection de sa personnalité et celui de l'intérêt invoqué par l'auteur comme motif justificatif; l'autorité cantonale dispose à cet égard d'un certain pouvoir d'appréciation ( art. 4 CC ; ATF 129 III 531 consid. 3.1; 126 III 209 consid. 3a p. 212 et la jurisprudence citée). Le Tribunal fédéral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126 III 305 consid. 4a p. 306 et les références).</w:t>
      </w:r>
    </w:p>
    <w:p>
      <w:r>
        <w:rPr>
          <w:b/>
        </w:rPr>
        <w:t>E. 3</w:t>
      </w:r>
    </w:p>
    <w:p>
      <w:r>
        <w:t>L'arrêt attaqué considère que dans la mesure où elle se contentait de faire des pronostics ou des évaluations sur des événements futurs (doutes quant à un scandale possible, manque d'impact sur le public des pratiques sexuelles même les plus déviantes, vu leur banalisation) ou d'émettre des jugements de valeur (« mocheté » du cheval présenté), la lettre de lecteur incriminée ne contenait que des jugements de valeur subjectifs, ne relevant que de la liberté d'opinion de leur auteur et appelant la plus grande retenue puisque le public était en mesure de reconnaître en l'espèce le contexte dans lequel ces jugements étaient émis.</w:t>
      </w:r>
    </w:p>
    <w:p>
      <w:r>
        <w:t>En revanche, dans la mesure où la lettre laissait entendre au lecteur moyen que, d'une manière générale, il était de notoriété publique («c'est désormais bien connu») que les étudiants de l'ECAL devaient exécuter des objets à connotation sexuelle («... il est étudiant dans cette école où ... il faut créer de préférence dans le genre sexe...») pour voir leurs oeuvres favorisées ou tout au moins appréciées du directeur («s'y faire bien voir») et qu'elle faisait ainsi comprendre que le choix du cheval présenté par l'ECAL au Marché-Concours de Saignelégier résultait d'une politique artistique délibérée poursuivie par l'intimé au sein de l'école qu'il dirigeait, elle mettait en doute, selon l'autorité cantonale, la probité intellectuelle et l'honnêteté artistique de l'intimé dans sa fonction de directeur de l'ECAL.</w:t>
      </w:r>
    </w:p>
    <w:p>
      <w:r>
        <w:t>L'autorité cantonale a dès lors examiné si les allégations du recourant relatives aux préférences artistiques et professionnelles de l'intimé au sein de l'ECAL pouvaient être considérées comme établies. Elle est arrivée, au terme d'une analyse approfondie des témoignages et pièces versées au dossier, au constat suivant: l'intimé était un provocateur qui le revendiquait publiquement et qui multipliait les déclarations fracassantes; il avait fait connaître l'ECAL par des opérations «coup de poing»; il était certes établi que l'école, dans sa section design graphique, avait produit des objets à connotation sexuelle (botte-culs; boîtes à godemichés), mais il était aussi prouvé que l'ECAL, sous l'impulsion de l'intimé, menait également des projets dans le domaine du design industriel et du design de produit et avait montré, à sa troisième apparition à la Foire de l'Ameublement de Milan en 2003, des objets sérieux tels des cuisines ou des chaises; il ressortait encore d'un article de l'AGEFI du 7 juillet 2003 et d'un article publié en allemand et en anglais dans le numéro de juillet/août 2003 dans la revue « design report » que ces projets étaient en cours de réalisation ou étaient déjà réalisés au moment de la publication de la lettre du recourant le 27 juillet 2003. L'autorité cantonale en a déduit qu'il était insoutenable de prétendre qu'un étudiant devait créer dans le domaine du sexe pour plaire au directeur de l'ECAL; par ailleurs, d'autres éléments postérieurs à la parution de la lettre de lecteur, dont il fallait tenir compte, démontraient que l'ECAL avait des activités dans diverses branches de l'art entièrement étrangères aux choses du sexe, ne présentant aucun caractère de provocation. En conséquence, a conclu l'autorité cantonale, les propos du recourant selon lesquels l'intimé avait un intérêt exclusif pour les choses du sexe et pour la provocation gratuite qui déteignaient sur l'enseignement prodigué dans cette école, étaient faux et, partant, un tel mensonge ou une telle insinuation avaient porté une atteinte illicite à sa personnalité.</w:t>
      </w:r>
    </w:p>
    <w:p>
      <w:r>
        <w:t>Enfin, l'autorité cantonale a retenu qu'aucun motif justificatif, en particulier, la légitime défense, ne pouvait être admis. Le recourant pouvait être aussi provocateur que l'intimé dans le domaine des goûts et des opinions au sujet de l'expression artistique, ainsi que de la manière de faire connaître ceux-ci, mais il ne pouvait pas déborder de ce domaine sans violer le principe de la proportionnalité. Or, il était sorti du débat en énonçant un fait objectivement faux au sujet de la manière dont l'intimé dirigeait l'ECAL.</w:t>
      </w:r>
    </w:p>
    <w:p>
      <w:r>
        <w:rPr>
          <w:b/>
        </w:rPr>
        <w:t>E. 4</w:t>
      </w:r>
    </w:p>
    <w:p>
      <w:r>
        <w:t>Le recourant reproche à la juridiction cantonale de n'avoir pas suffisamment tenu compte de sa liberté d'expression garantie par l' art. 10 CEDH et d'avoir violé l' art. 28 CC en considérant que ses propos étaient attentatoires à l'honneur de l'intimé. Elle aurait, selon lui, interprété faussement ceux-ci, omis de prendre en considération des critères déterminants pour apprécier le caractère illicite ou non de l'atteinte et mal apprécié la perception du lecteur moyen. C'est également de manière arbitraire, parce que contraire aux faits établis, que l'autorité cantonale aurait contesté la véracité de son affirmation et considéré que ses propos étaient mensongers.</w:t>
      </w:r>
    </w:p>
    <w:p>
      <w:r>
        <w:rPr>
          <w:b/>
        </w:rPr>
        <w:t>E. 4.1</w:t>
      </w:r>
    </w:p>
    <w:p>
      <w:r>
        <w:t>Dans sa lettre de lecteur, le recourant ne s'est guère attardé sur le sujet même de l'article « Le sulfureux étalon vaudois » paru le 20 juillet et les critères ayant conduit le jury, sous la présidence de l'intimé, à choisir le cheval vaudois genre « sadomaso ». Sur ce point, il ne s'est pas livré, comme on aurait pu en attendre d'un courtier en art, à une véritable critique artistique, mais il s'est contenté de quelques pronostics, évaluations et jugements de valeur, qu'il était certes en droit d'émettre en vertu de sa liberté d'opinion, comme l'a retenu à juste titre l'autorité cantonale, même si ses propos pouvaient apparaître sévères, voire dévalorisants (« mocheté », « ce plouc de directeur de l'ECAL », « mauvais goût » de l'intimé). Un lecteur moyen était en mesure de reconnaître, par la référence au Marché-Concours de Saignelégier et les photographies illustrant le texte litigieux, le contexte dans lequel les propos en question avaient été proférés.</w:t>
      </w:r>
    </w:p>
    <w:p>
      <w:r>
        <w:t>Le recourant est toutefois sorti volontairement du cadre de l'oeuvre en question, qui ne lui a servi, semble-t-il, que de prétexte, pour faire carrément comprendre au lecteur que si le lauréat avait choisi le thème du sadomasochisme pour décorer son cheval, c'était pour se faire bien voir de l'intimé, non pas en tant que président du jury connu pour apprécier et encourager la création d'oeuvres sur ce thème, mais en sa qualité de directeur de l'ECAL favorisant les étudiants qui font dans le genre « sexe, tendance déviant, crade, pervers », à l'image de produits précédemment créés (« boîte de jouets sexe », « botte-cul sexe »). Le recourant a clairement laissé entendre par là au lecteur moyen que, d'une manière générale, le directeur de l'école favorisait la création d'oeuvres à connotation sexuelle et « sadomaso » au détriment d'autres genres de création, et que si l'on voulait réussir dans son école, il fallait faire dans le genre. Le fait que le recourant a ajouté « de préférence » ne change rien à cela. Ainsi que l'a retenu l'autorité cantonale, le recourant a, dans sa lettre de lecteur, bel et bien mis en doute la probité intellectuelle et l'honnêteté artistique de l'intimé dans sa fonction de directeur de l'ECAL.</w:t>
      </w:r>
    </w:p>
    <w:p>
      <w:r>
        <w:rPr>
          <w:b/>
        </w:rPr>
        <w:t>E. 4.2</w:t>
      </w:r>
    </w:p>
    <w:p>
      <w:r>
        <w:t>Il appartenait au recourant d'établir la véracité des faits attentatoires aux droits de la personnalité de l'intimé pour échapper au reproche d'illicéité ( art. 8 et 28 al. 2 CC , cf., supra, consid. 2.3.1). Or, au terme de son examen fouillé des éléments du dossier, l'autorité cantonale est arrivée non seulement à la conclusion que le recourant n'avait pas réussi à prouver ce qu'il avançait, à savoir qu'il fallait créer dans le domaine du sexe pour plaire au directeur de l'ECAL, mais encore que l'intimé avait lui-même apporté la preuve du contraire, soit que l'ECAL avait des activités dans diverses branches de l'art entièrement étrangères aux choses du sexe et ne présentant aucun caractère de provocation particulier.</w:t>
      </w:r>
    </w:p>
    <w:p>
      <w:r>
        <w:t>Le recourant ne démontre pas que l'autorité cantonale a conclu arbitrairement à la fausseté des faits en question. Il se trompe lorsqu'il croit qu'il suffisait de prouver que le fait que l'étudiant (« jeune homme brésilien ») s'était bien fait voir de son directeur en créant son oeuvre « sadomaso » et que celle-ci avait plu à celui-ci, était conforme à la vérité. Ce qu'il lui appartenait en effet de prouver - et qu'il n'a pas réussi à faire -, c'était son assertion selon laquelle pour plaire au directeur de l'ECAL et implicitement réussir dans cette école, un étudiant devait créer dans le domaine du sexe et du « sadomaso ».</w:t>
      </w:r>
    </w:p>
    <w:p>
      <w:r>
        <w:rPr>
          <w:b/>
        </w:rPr>
        <w:t>E. 5</w:t>
      </w:r>
    </w:p>
    <w:p>
      <w:r>
        <w:t>Il résulte de ce qui précède que le recours doit être rejeté dans la mesure de sa recevabilité.</w:t>
      </w:r>
    </w:p>
    <w:p>
      <w:r>
        <w:t>Le recourant, qui invoque son indigence, a bénéficié de l'assistance judiciaire en instance cantonale. Son recours au Tribunal fédéral n'étant pas apparu d'emblée manifestement dépourvu de chances de succès au sens de l' art. 64 al. 1 LTF , il y a lieu de le mettre au bénéfice de la même mesure pour la procédure fédérale.</w:t>
      </w:r>
    </w:p>
    <w:p>
      <w:r>
        <w:t>L'intimé,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