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5A_609/2019 vom 22. Dezember 2020</w:t>
      </w:r>
    </w:p>
    <w:p>
      <w:r>
        <w:t>Bundesgericht, 2020-12-22, IT</w:t>
      </w:r>
    </w:p>
    <w:p>
      <w:r>
        <w:rPr>
          <w:b/>
        </w:rPr>
        <w:t xml:space="preserve">Quelle: </w:t>
      </w:r>
      <w:r>
        <w:t>https://mcp.opencaselaw.ch/entscheid/bger_5A_609_2019</w:t>
      </w:r>
    </w:p>
    <w:p>
      <w:r>
        <w:t>FR: TF 5A_609/2019 du 22 décembre 2020</w:t>
      </w:r>
    </w:p>
    <w:p>
      <w:r>
        <w:t>IT: TF 5A_609/2019 del 22 dicembre 2020</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 comunque in concreto sufficiente - è privo di rilievo (art. 74 cpv. 2 lett. c LTF; DTF 133 III 350 consid. 1.2).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1.4</w:t>
      </w:r>
    </w:p>
    <w:p>
      <w:r>
        <w:t>Non possono essere addotti nuovi fatti o nuovi mezzi di prova, a meno che non ne dia motivo la decisione impugnata ( art. 99 cpv. 1 LTF ;</w:t>
      </w:r>
    </w:p>
    <w:p>
      <w:r>
        <w:t>in extenso sentenza 2C_50/2017 del 22 agosto 2018 consid. 3.1 e 3.2 con rinvii).</w:t>
      </w:r>
    </w:p>
    <w:p>
      <w:r>
        <w:t>Gli scritti 2 agosto 2019, 16 novembre 2019 con allegati, 21 e 24 febbraio 2020 con allegati, 26 aprile 2020 con allegato, 19 novembre 2020 con allegati e 14 dicembre 2020 con allegati, mediante i quali la ricorrente intende "aggiorna re " il Presidente della Corte, così come lo scritto 3 febbraio 2020, che trae in parte spunto da una sentenza del Tribunale federale del 10 gennaio 2020 e consiste per l'essenziale in lagnanze per una certo difficile situazione personale, non rispondono manifestamente ai requisiti e non possono pertanto essere tenuti in considerazione.</w:t>
      </w:r>
    </w:p>
    <w:p>
      <w:r>
        <w:rPr>
          <w:b/>
        </w:rPr>
        <w:t>E. 2</w:t>
      </w:r>
    </w:p>
    <w:p>
      <w:r>
        <w:t>Controversa è in primo luogo la co mpetenza territoriale dell'Ufficio di esecuzione di Lugano e dell'autorità di vigilanza del Cantone Ticino.</w:t>
      </w:r>
    </w:p>
    <w:p>
      <w:r>
        <w:rPr>
          <w:b/>
        </w:rPr>
        <w:t>E. 2.1</w:t>
      </w:r>
    </w:p>
    <w:p>
      <w:r>
        <w:t>Come già esposto dal Tribunale di appello, la competenza territoriale delle autorità esecutive per il sequestro di crediti non incorporati in cartevalori è situata al luogo di domicilio del loro titolare, ossia il debitore escusso. Se questi è domiciliato all'estero, il sequestro avverrà al luogo di domicilio o di sede svizzero del terzo debitore, eventualmente al luogo di sede della succursale del terzo debitore con la quale l'escusso ha intrattenuto relazioni ( DTF 128 III 473 consid. 3.1, con rinvio alla DTF 107 III 147 ), a condizione che tale succursale rispetti i criteri di una stabile organizzazione ai sensi dell' art. 12 CPC (cf. DTF 129 III 31 consid. 3.1). Questa giurisprudenza, nota e costante, vuole evitare i conflitti di competenza che potrebbero emergere in ragione delle differenti regole nazionali circa la localizzazione dei crediti ( DTF 140 III 512 consid. 3.2 e 3.5.1). Certo, quest'ultima sentenza ha per oggetto la posizione della succursale estera di un terzo debitore domiciliato in Svizzera; ma la giurisprudenza in questione è invero stata coniata con riferimento alle succursali svizzere di terzo debitore con sede in Svizzera (v. DTF 107 III 147 consid. 4a; 80 III 122 consid. 3).</w:t>
      </w:r>
    </w:p>
    <w:p>
      <w:r>
        <w:rPr>
          <w:b/>
        </w:rPr>
        <w:t>E. 2.2</w:t>
      </w:r>
    </w:p>
    <w:p>
      <w:r>
        <w:t>Il Tribunale di appello ha ritenuto da un lato che il "Corporate Center" di Lugano di C.________ AG sia da qualificare quale stabile organizzazione ai sensi dell' art. 12 CPC ; d'altro lato, che fosse poco probabile che per la gestione del conto posto sotto sequestro la ricorrente trattasse direttamente con impiegati della sede di Zurigo.</w:t>
      </w:r>
    </w:p>
    <w:p>
      <w:r>
        <w:t>Il Tribunale di appello ha invece ritenuto il ricorso tardivo nella misura in cui sollevava l'eccezione di incompetenza territoriale con riferimento ai conti presso D.________ SA.</w:t>
      </w:r>
    </w:p>
    <w:p>
      <w:r>
        <w:rPr>
          <w:b/>
        </w:rPr>
        <w:t>E. 2.3.1</w:t>
      </w:r>
    </w:p>
    <w:p>
      <w:r>
        <w:t>In relazione al sequestro presso C.________ AG, la ricorrente obietta che non sussistono fatti provati che dimostrino l'esistenza di un punto di collegamento preponderante con la succursale, ma soltanto mere ipotesi, insufficienti per giustificare l'aggancio eccezionale al foro della succursale. È dubbio che tale generica critica soddisfi le esigenze di motivazione per il ricorso in materia civile (</w:t>
      </w:r>
    </w:p>
    <w:p>
      <w:r>
        <w:t>supra consid. 1.3). Comunque sia, ella si limita a sollevare dubbi, senza menzionare fatti che smentirebbero le supposizioni dell'autorità cantonale; salta all'occhio, in particolare, che ella nemmeno afferma di aver trattato con Zurigo, rispettivamente di non aver trattato con Lugano - non bastando, a tal fine, l'evocazione dei lunghi tempi del sequestro penale della relazione in questione e la mancanza di contatti in questo arco di tempo. In quanto ammissibile, la censura è infondata.</w:t>
      </w:r>
    </w:p>
    <w:p>
      <w:r>
        <w:t>La ricorrente obietta poi che quella di Lugano non sarebbe neppure un'agenzia di C.________ AG, bensì una mera agenzia non iscritta a Registro di commercio. L'obiezione appare inammissibile poiché nuova: la ricorrente non afferma di averla già sollevata avanti l'istanza cantonale. Comunque, l'obiezione sarebbe priva di qualsiasi pregio, l'iscrizione a Registro di commercio non essendo necessaria per una qualifica quale succursale ai sensi dell' art. 12 CPC (Dominik Infanger, in Basler Kommentar, Schweizerische Zivilprozessordnung, 3a ed. 2017, n. 12 ad art. 12 CPC con rinvii). Che poi tutti i conti precedentemente locati alla filiale C.________ AG di Lugano siano stati trasferiti a Zurigo, è una pura supposizione della ricorrente, da nulla suffragata e comunque nuova e inammissibile.</w:t>
      </w:r>
    </w:p>
    <w:p>
      <w:r>
        <w:rPr>
          <w:b/>
        </w:rPr>
        <w:t>E. 2.3.2</w:t>
      </w:r>
    </w:p>
    <w:p>
      <w:r>
        <w:t>L'estensione della censura di incompetenza territoriale relativa al sequestro dei conti presso D.________ SA, segnatamente quella tratta dalla collocazione dei conti presso la sede dell'istituto bancario, è di primo acchito inammissibile, posto che il Tribunale di appello ha considerato tardivo il relativo ricorso cantonale.</w:t>
      </w:r>
    </w:p>
    <w:p>
      <w:r>
        <w:t>Invece di confrontarsi con il rimprovero di tardività del proprio gravame, la ricorrente richiama l' art. 59 cpv. 2 lett. b CPC : a suo dire, l'esigenza di una verifica d'ufficio, in ogni stadio di causa, dei presupposti processuali, e dunque della competenza territoriale dell'autorità adita, supplirebbe alla presunta tardività del suo gravame. L'obiezione è tuttavia oziosa, dato che il Tribunale di appello ha accertato in fatto l'esistenza di legami sufficienti fra la ricorrente e la succursale luganese di C.________ AG, mentre il nesso di lei con D.________ SA di Lugano non risulta essere stato messo in discussione. La competenza territoriale delle autorità esecutive in questione è pertanto stata correttamente verificata. Nella misura della sua ricevibilità, la censura è infondata.</w:t>
      </w:r>
    </w:p>
    <w:p>
      <w:r>
        <w:t>L'istanza urgente di accertamento di difetto di giurisdizione, che la ricorrente afferma aver depositato a mano avanti la Camera di esecuzione e fallimenti e all'Ufficio di esecuzione in data 10/11 luglio 2019, non cambia l'esito del gravame. Avendo i Giudici cantonali comunque accertato la competenza territoriale delle autorità ticinesi, la nullità che - per costante e nota giurisprudenza - caratterizzerebbe il sequestro di beni siti fuori dalla giurisdizione dell'Ufficio adito non inficia la misura presa nel caso di specie.</w:t>
      </w:r>
    </w:p>
    <w:p>
      <w:r>
        <w:rPr>
          <w:b/>
        </w:rPr>
        <w:t>E. 2.3.3</w:t>
      </w:r>
    </w:p>
    <w:p>
      <w:r>
        <w:t>La ricorrente contesta la pertinenza dell' art. 12 CPC per il motivo che questa norma si applicherebbe unicamente a parte convenuta: ora, essendo lei medesima, e non il terzo sequestratario, parte alla procedura, l' art. 12 CPC sarebbe inconferente. La censura, la cui serietà appare dubbia, è comunque infondata: proprio il fatto che il riconoscimento della qualità di succursale non conferisce a quest'ultima qualità di parte o capacità di stare in giudizio (Infanger, op. cit., n. 8 ad art. 12 CPC con rinvii) dimostra che la competenza territoriale fondata sulla disposizione in questione è del tutto indipendente dalla qualità di parte.</w:t>
      </w:r>
    </w:p>
    <w:p>
      <w:r>
        <w:rPr>
          <w:b/>
        </w:rPr>
        <w:t>E. 2.4</w:t>
      </w:r>
    </w:p>
    <w:p>
      <w:r>
        <w:t>Il riconoscimento della competenza territoriale dell'Ufficio di esecuzione di Lugano - e, di riflesso, della propria competenza territoriale - da parte del Tribunale di appello si fonda dunque su accertamenti fattuali non lesivi del divieto d'arbitrio ed è conforme alla legge. La censura va respinta nella ridotta misura della sua ricevibilità.</w:t>
      </w:r>
    </w:p>
    <w:p>
      <w:r>
        <w:rPr>
          <w:b/>
        </w:rPr>
        <w:t>E. 3</w:t>
      </w:r>
    </w:p>
    <w:p>
      <w:r>
        <w:t>La ricorrente ribadisce l'assenza di legittimazione attiva del creditore escutente B.________, già più volte e in differenti sedi evocata, e a suo dire accertata dal Tribunale federale nella sentenza 6B_306/2019 del 22 maggio 2019. Ella ripropone così l'eccezione di regiudicata (art. 59 cpv. 2 lett. e CPC) e di litispendenza.</w:t>
      </w:r>
    </w:p>
    <w:p>
      <w:r>
        <w:rPr>
          <w:b/>
        </w:rPr>
        <w:t>E. 3.1</w:t>
      </w:r>
    </w:p>
    <w:p>
      <w:r>
        <w:t>In proposito, il Tribunale di appello ha rilevato trattarsi di censura relativa alla procedura giudiziaria, da sollevare in sede di opposizione al sequestro. Peraltro, aggiungono i Giudici cantonali, la decisione del Tribunale federale invocata tratta della legittimazione di B.________ quale accusatore privato nella procedura penale, e verte quindi su un tema completamente diverso da quello sottoposto al giudice del sequestro.</w:t>
      </w:r>
    </w:p>
    <w:p>
      <w:r>
        <w:rPr>
          <w:b/>
        </w:rPr>
        <w:t>E. 3.2.1</w:t>
      </w:r>
    </w:p>
    <w:p>
      <w:r>
        <w:t>Se ritira l'azione civile nel procedimento penale prima del dibattimento di primo grado, l'accusatore privato può nuovamente promuoverla nel foro civile ( art. 122 cpv. 4 CPP ). Lo stesso vale quando il tribunale ha rinviato la pretesa al foro civile (Niklaus Oberholzer, Grundzüge des Strafprozessrechts, 4a ed. 2020, n. 601).</w:t>
      </w:r>
    </w:p>
    <w:p>
      <w:r>
        <w:rPr>
          <w:b/>
        </w:rPr>
        <w:t>E. 3.2.2</w:t>
      </w:r>
    </w:p>
    <w:p>
      <w:r>
        <w:t>Con sentenza 29 gennaio 2019, la Corte di appello e di revisione penale del Tribunale di appello del Cantone Ticino, in parziale accoglimento dell'appello dell'imputata e dell'appello incidentale del Procuratore pubblico contro il giudizio di primo grado, ha fra le altre cose rinviato B.________ al foro civile per le pretese non evase nella sede penale (v. sentenza 6B_306/2019 cit. consid. in fatto B). In tali circostanze, mal si comprende come la ricorrente possa avvalersi dell'eccezione di regiudicata. Ancora meno comprensibile è l'eccezione di litispendenza in sede penale, posto che gli effetti della dichiarazione di costituzione quale accusatore privato di B.________ hanno cessato al momento della sentenza della Corte di appello e di revisione penale. La ricorrente era stata edotta dal Tribunale federale circa la reale portata della propria sentenza 6B_306/2019 (v. sentenza 6B_972/2019 del 9 ottobre 2019 consid. 3.3), sicché la sua censura, oltre che infondata, si avvera essere temeraria.</w:t>
      </w:r>
    </w:p>
    <w:p>
      <w:r>
        <w:rPr>
          <w:b/>
        </w:rPr>
        <w:t>E. 3.2.3</w:t>
      </w:r>
    </w:p>
    <w:p>
      <w:r>
        <w:t>Peraltro - sia rammentato a titolo abbondanziale -, la litispendenza di un processo di merito non è condizione per la concessione di un sequestro secondo l' art. 271 LEF , bensì semmai della sua convalida ( art. 279 LEF ), che la ricorrente non discute e sulla quale non vi è pertanto necessità di soffermarsi.</w:t>
      </w:r>
    </w:p>
    <w:p>
      <w:r>
        <w:rPr>
          <w:b/>
        </w:rPr>
        <w:t>E. 3.3</w:t>
      </w:r>
    </w:p>
    <w:p>
      <w:r>
        <w:t>La censura ricorsuale tratta dalla pretesa assenza di legittimazione attiva del creditore escutente B.________ si rivela, in conclusione, manifestamente infondata, nella misura della sua ammissibilità.</w:t>
      </w:r>
    </w:p>
    <w:p>
      <w:r>
        <w:rPr>
          <w:b/>
        </w:rPr>
        <w:t>E. 4</w:t>
      </w:r>
    </w:p>
    <w:p>
      <w:r>
        <w:t>Da ultimo, la ricorrente lamenta la violazione di suoi diritti fondamentali.</w:t>
      </w:r>
    </w:p>
    <w:p>
      <w:r>
        <w:rPr>
          <w:b/>
        </w:rPr>
        <w:t>E. 4.1</w:t>
      </w:r>
    </w:p>
    <w:p>
      <w:r>
        <w:t>Solleva in primo luogo un diniego di giustizia formale secondo l' art. 29 Cost. , per avere - almeno questa parrebbe la motivazione - l'istanza inferiore ignorato e omesso di evadere l'istanza urgente 10/11 luglio 2019 mediante la quale la ricorrente ribadiva l'eccezione di difetto di giurisdizione. Già si è detto, tuttavia, che l'accertamento della competenza</w:t>
      </w:r>
    </w:p>
    <w:p>
      <w:r>
        <w:t>ratione loci delle autorità ticinesi evade nel merito la questione sollevata in quella comparsa, sicché appare ozioso disquisire se la risposta sia stata formalmente riferita all'istanza 10/11 luglio 2019 o meno. Peraltro, la ricorrente nemmeno adduce che l'autorità inferiore fosse tenuta a trattare la sua istanza urgente nel quadro del ricorso 4 luglio 2019, e ancor meno spiega in virtù di quale norma sussista un tale dovere; ora, posto che una censura di diniego formale di giustizia presuppone - oltre ad un obbligo di decidere - l'introduzione di una richiesta nei tempi e nelle forme previste dalla legge ( DTF 135 I 6 consid. 2.1; sentenze 5A_40/2014 del 17 aprile 2014 consid. 3.1; 6B_359/2020 dell'11 agosto 2020 consid. 3.2.1), la censura appare gravemente carente nella motivazione. Essa va pertanto respinta nella misura della sua ammissibilità.</w:t>
      </w:r>
    </w:p>
    <w:p>
      <w:r>
        <w:rPr>
          <w:b/>
        </w:rPr>
        <w:t>E. 4.2</w:t>
      </w:r>
    </w:p>
    <w:p>
      <w:r>
        <w:t>La ricorrente rileva poi che il sequestro di tutti i suoi conti bancari presso C.________ AG e D.________ SA ha portato al blocco di somme ben superiori all'importo sequestrato; appreso dall'Ufficio di esecuzione che tale situazione era la conseguenza del fatto che l'Ufficio stesso non era a conoscenza dei saldi attivi dei conti sequestrati, ella si è allora offerta di svincolare le banche dal segreto bancario. Tuttavia, tale proposta non ha ottenuto l'avallo dell'Ufficio di esecuzione, che non si è espresso in merito. A suo dire, ciò costituisce una violazione del divieto del formalismo eccessivo.</w:t>
      </w:r>
    </w:p>
    <w:p>
      <w:r>
        <w:t>È dato formalismo eccessivo, espressione del diniego di giustizia formale giusta l' art. 29 cpv. 1 Cost. , quando l'applicazione rigorosa delle regole di procedura non si giustifica in base ad alcun interesse degno di protezione, diviene dunque un fine a sé e complica in maniera insostenibile la realizzazione del diritto sostanziale rispettivamente ostacola in maniera inammissibile l'accesso ai tribunali ( DTF 145 I 201 consid. 4.2.1; 142 I 10 consid. 2.4.2; 142 IV 299 consid. 1.3.2). Sanzionando un comportamento reprensibile dell'autorità nei suoi rapporti con il cittadino, il divieto del formalismo eccessivo persegue il medesimo fine del principio della buona fede ai sensi degli art. 5 cpv. 3 e art. 9 Cost. ( DTF 145 I 201 consid. 4.2.1).</w:t>
      </w:r>
    </w:p>
    <w:p>
      <w:r>
        <w:t>Il Tribunale di appello, evadendo un'istanza di rettifica 2 luglio 2019 del dispositivo n. 1 del proprio decreto di sequestro (già rettificato in data 19 giugno 2019) relativo ai conti presso C.________ AG, ha spiegato che il compito di stimare i beni da sottoporre a sequestro rispettivamente limitare la misura a quanto basti per soddisfare il creditore incombe all'UE e non alla Camera di esecuzione e fallimenti. Essendo ignoto a quest'ultima il saldo dei conti presso D.________ SA, ha ritenuto l'istanza irricevibile sia in quanto tale sia nella prospettiva dell' art. 17 LEF , l'Ufficio di esecuzione di Lugano non avendo ancora deciso in merito.</w:t>
      </w:r>
    </w:p>
    <w:p>
      <w:r>
        <w:t>A ben guardare, la ricorrente non risponde agli argomenti esposti dal Tribunale di appello relativamente alla propria competenza e ai limiti di un suo eventuale intervento. Ella censura piuttosto l'operato - o meglio: l'omissione di decidere - da parte dell'Ufficio di esecuzione nella prospettiva di un diniego formale di giustizia, senza peraltro riferirsi a questo principio. Ora, come noto, con ricorso in materia civile al Tribunale federale possono essere censurate unicamente decisioni prese dall'autorità giudiziaria suprema di un Cantone ( art. 75 cpv. 1 LTF ). La censura si rivela pertanto inammissibile. Lo è pure siccome rivolta contro l'operato del Tribunale di appello, non essendo spiegato quale norma o principio legale quest'ultima autorità abbia applicato in modo eccessivamente formale, impedendo in tal modo la realizzazione del diritto sostanziale o impedendo alla ricorrente l'accesso a un tribunale.</w:t>
      </w:r>
    </w:p>
    <w:p>
      <w:r>
        <w:rPr>
          <w:b/>
        </w:rPr>
        <w:t>E. 4.3</w:t>
      </w:r>
    </w:p>
    <w:p>
      <w:r>
        <w:t>Da ultimo, la ricorrente lamenta la violazione del divieto d'arbitrio materiale ( art. 9 Cost. ). Quale motivazione, adduce una lista di norme costituzionali e legislative federali, in parte trattate ai punti precedenti, aggiungendo un richiamo alla costituzione del Cantone Ticino e la constatazione che la sentenza impugnata " urta violentemente il sentimento di giustizia e ferisce pure la logica ".</w:t>
      </w:r>
    </w:p>
    <w:p>
      <w:r>
        <w:t>È immediatamente evidente che considerazioni generiche quali quelle appena riassunte non soddisfano neppure lontanamente le severe esigenze di motivazione formulate con riferimento a censure aventi per oggetto diritti fondamentali o disposizioni di diritto cantonale e intercantonale ( art. 106 cpv. 2 LTF ; in merito</w:t>
      </w:r>
    </w:p>
    <w:p>
      <w:r>
        <w:t>supra consid. 1.2). La censura è inammissibile.</w:t>
      </w:r>
    </w:p>
    <w:p>
      <w:r>
        <w:rPr>
          <w:b/>
        </w:rPr>
        <w:t>E. 5</w:t>
      </w:r>
    </w:p>
    <w:p>
      <w:r>
        <w:t>In conclusione, il ricorso deve essere respinto nella misura in cui sia ricevibile. Le spese giudiziarie seguono la soccombenza ( art. 66 cpv. 1 LTF ). Non sono dovute ripetibili (art. 68 cpv. 1</w:t>
      </w:r>
    </w:p>
    <w:p>
      <w:r>
        <w:t>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