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5A_608/2022 vom 17. August 2022</w:t>
      </w:r>
    </w:p>
    <w:p>
      <w:r>
        <w:t>Bundesgericht, 2022-08-17, DE</w:t>
      </w:r>
    </w:p>
    <w:p>
      <w:r>
        <w:rPr>
          <w:b/>
        </w:rPr>
        <w:t xml:space="preserve">Quelle: </w:t>
      </w:r>
      <w:r>
        <w:t>https://mcp.opencaselaw.ch/entscheid/bger_5A_608_2022</w:t>
      </w:r>
    </w:p>
    <w:p>
      <w:r>
        <w:t>FR: TF 5A_608/2022 du 17 août 2022</w:t>
      </w:r>
    </w:p>
    <w:p>
      <w:r>
        <w:t>IT: TF 5A_608/2022 del 17 agosto 2022</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Der Beschwerdeführer äussert sich zur offenkundig verpassten Beschwerdefrist im kantonalen Beschwerdeverfahren überhaupt nicht. Auf die Beschwerde ist folglich mangels Begründung nicht einzutreten.</w:t>
      </w:r>
    </w:p>
    <w:p>
      <w:r>
        <w:rPr>
          <w:b/>
        </w:rPr>
        <w:t>E. 2</w:t>
      </w:r>
    </w:p>
    <w:p>
      <w:r>
        <w:t>Nur der Vollständigkeit halber sei festgehalten, dass auch die Ausführungen zur obergerichtlichen Eventualbegründung in der Sache, die stille Lohnpfändung sei gesetzlich nicht verankert, werde aber von der Praxis zugelassen, wobei namentlich die Zustimmung aller Gläubiger erforderlich sei, nicht genügend wären. Die Eventualbegründung trifft in allen Teilen zu und entsprechend - d.h. weil die stille Lohnpfändung gesetzlich gerade nicht vorgesehen ist, sondern im Gegenteil gemäss Art. 99 SchKG dem Arbeitgeber stets anzuzeigen wäre und das "Institut" insofern auf reiner Kulanz des Betreibungsamtes beruht - geht die Behauptung, im Zusammenhang mit der zur Beibringung der Zustimmungserklärungen der Gläubiger gesetzten Frist sei Bundesrecht verletzt worden, an der Sache vorbei.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