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5A_607/2025 vom 2. September 2025</w:t>
      </w:r>
    </w:p>
    <w:p>
      <w:r>
        <w:t>Bundesgericht, 2025-09-02, DE</w:t>
      </w:r>
    </w:p>
    <w:p>
      <w:r>
        <w:rPr>
          <w:b/>
        </w:rPr>
        <w:t xml:space="preserve">Quelle: </w:t>
      </w:r>
      <w:r>
        <w:t>https://mcp.opencaselaw.ch/entscheid/bger_5A_607_2025</w:t>
      </w:r>
    </w:p>
    <w:p>
      <w:r>
        <w:t>FR: TF 5A_607/2025 du 2 septembre 2025</w:t>
      </w:r>
    </w:p>
    <w:p>
      <w:r>
        <w:t>IT: TF 5A_607/2025 del 2 settembre 2025</w:t>
      </w:r>
    </w:p>
    <w:p>
      <w:pPr>
        <w:pStyle w:val="Heading2"/>
      </w:pPr>
      <w:r>
        <w:t>Erwägungen</w:t>
      </w:r>
    </w:p>
    <w:p>
      <w:r>
        <w:rPr>
          <w:b/>
        </w:rPr>
        <w:t>E. 1</w:t>
      </w:r>
    </w:p>
    <w:p>
      <w:r>
        <w:t>Das Bundesgericht kann keine allgemeinen Anliegen, wobei vorliegend selbst ein solches nicht klar aus der Eingabe hervorgeht, sondern einzig form- und fristgerechte Beschwerden gegen kantonal letztinstanzliche Urteile behandeln.</w:t>
      </w:r>
    </w:p>
    <w:p>
      <w:r>
        <w:t>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weder ein Rechtsbegehren noch einen Fingerzeig, inwiefern der angefochtene Nichteintretensentscheid gegen Recht verstossen soll. Damit bleibt sie unbegründet, weshalb auf sie nicht eingetreten werden kann und der Präsident im vereinfachten Verfahren entscheidet ( Art. 108 Abs. 1 lit. b BGG ).</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