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5A_606/2025 vom 30. Juli 2025</w:t>
      </w:r>
    </w:p>
    <w:p>
      <w:r>
        <w:t>Bundesgericht, 2025-07-30, DE</w:t>
      </w:r>
    </w:p>
    <w:p>
      <w:r>
        <w:rPr>
          <w:b/>
        </w:rPr>
        <w:t xml:space="preserve">Quelle: </w:t>
      </w:r>
      <w:r>
        <w:t>https://mcp.opencaselaw.ch/entscheid/bger_5A_606_2025</w:t>
      </w:r>
    </w:p>
    <w:p>
      <w:r>
        <w:t>FR: TF 5A_606/2025 du 30 juillet 2025</w:t>
      </w:r>
    </w:p>
    <w:p>
      <w:r>
        <w:t>IT: TF 5A_606/2025 del 30 luglio 2025</w:t>
      </w:r>
    </w:p>
    <w:p>
      <w:pPr>
        <w:pStyle w:val="Heading2"/>
      </w:pPr>
      <w:r>
        <w:t>Erwägungen</w:t>
      </w:r>
    </w:p>
    <w:p>
      <w:r>
        <w:rPr>
          <w:b/>
        </w:rPr>
        <w:t>E. 1</w:t>
      </w:r>
    </w:p>
    <w:p>
      <w:r>
        <w:t>Mit Entscheid vom 17. Juni 2025 eröffnete das Zivilkreisgericht Basel-Landschaft Ost in der Betreibung Nr. xxx des Betreibungsamtes Basel-Landschaft auf Begehren der Beschwerdegegnerin hin den Konkurs über die Beschwerdeführerin. Dagegen erhob die Beschwerdeführerin am 19. Juni 2025 Beschwerde beim Kantonsgericht Basel-Landschaft. Weitere Eingaben folgten. Mit Verfügung vom 11. Juli 2025 wies das Kantonsgericht das Gesuch der Beschwerdeführerin um aufschiebende Wirkung ab. Mit Verfügungen vom 17. und 22. Juli 2025 wies das Kantonsgericht erneute Gesuche der Beschwerdeführerin um aufschiebende Wirkung ab. Gegen diese drei Verfügungen hat die Beschwerdeführerin am 25. Juli 2025 (Postaufgabe) mit zwei separaten Eingaben Beschwerde an das Bundesgericht in Lausanne und in Luzern erhoben.</w:t>
      </w:r>
    </w:p>
    <w:p>
      <w:r>
        <w:rPr>
          <w:b/>
        </w:rPr>
        <w:t>E. 2</w:t>
      </w:r>
    </w:p>
    <w:p>
      <w:r>
        <w:t>Die Beschwerdeführerin beantragt unter anderem die Aufhebung der Konkurseröffnung. Die Konkurseröffnung als solche ist jedoch nicht Gegenstand der angefochtenen Verfügungen, sondern nur die vor Kantonsgericht mehrfach verlangte aufschiebende Wirkung. Verfügungen über die aufschiebende Wirkung sind solche über vorsorgliche Massnahmen im Sinne von Art. 98 BGG ( BGE 134 II 192 E. 1.5; 137 III 475 E. 2). Folglich kann nur die Verletzung verfassungsmässiger Rechte gerügt werden. Verfassungsrügen müssen gemäss dem strengen Rügeprinzip von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 Die Beschwerdeführerin legt jedoch nicht dar, inwiefern verfassungsmässige Rechte verletzt worden sein sollen. Die Beschwerde enthält offensichtlich keine hinreichende Begründung. Das präsidierende Mitglied der Abteilung tritt auf sie im vereinfachten Verfahren nicht ein ( Art. 108 Abs. 1 lit. b BGG ).</w:t>
      </w:r>
    </w:p>
    <w:p>
      <w:r>
        <w:rPr>
          <w:b/>
        </w:rPr>
        <w:t>E. 3</w:t>
      </w:r>
    </w:p>
    <w:p>
      <w:r>
        <w:t>Bei diesem Ausgang des Verfahrens trägt die Beschwerdeführerin die Gerichtskosten ( Art. 66 Abs. 1 BGG ). Wie die vorstehenden Erwägungen zeigen, war die Beschwerde von vornherein aussichtslos. Das Gesuch um unentgeltliche Rechtspflege ist abzuweisen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