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606/2023 vom 23. August 2023</w:t>
      </w:r>
    </w:p>
    <w:p>
      <w:r>
        <w:t>Bundesgericht, 2023-08-23, DE</w:t>
      </w:r>
    </w:p>
    <w:p>
      <w:r>
        <w:rPr>
          <w:b/>
        </w:rPr>
        <w:t xml:space="preserve">Quelle: </w:t>
      </w:r>
      <w:r>
        <w:t>https://mcp.opencaselaw.ch/entscheid/bger_5A_606_2023</w:t>
      </w:r>
    </w:p>
    <w:p>
      <w:r>
        <w:t>FR: TF 5A 606/2023 du 23 août 2023</w:t>
      </w:r>
    </w:p>
    <w:p>
      <w:r>
        <w:t>IT: TF 5A 606/2023 del 23 agosto 2023</w:t>
      </w:r>
    </w:p>
    <w:p>
      <w:pPr>
        <w:pStyle w:val="Heading2"/>
      </w:pPr>
      <w:r>
        <w:t>Regeste</w:t>
      </w:r>
    </w:p>
    <w:p>
      <w:r>
        <w:t>Validierung eines Vorsorgeauftrags, Errichtung einer Beistandschaft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kantonal letztinstanzlicher Rückweisungsentscheid in einer Zivilsache ( Art. 72 Abs. 1 und Art. 75 Abs. 1 BGG ). Rückweisungsentscheide führen zu keinem Verfahrensabschluss, weshalb es sich bei ihnen grundsätzlich um Zwischenentscheide handelt ( BGE 144 III 253 E. 1.3; 144 IV 321 E. 2.3). Als Zwischenentscheid ist der Rückweisungsentscheid nur unter den besonderen Voraussetzungen von Art. 93 Abs. 1 BGG mit Beschwerde in Zivilsachen anfechtbar ( BGE 145 III 42 E. 2.1), wobei diese in der Beschwerde im Einzelnen darzulegen sind ( BGE 137 III 324 E. 1.1; 141 III 80 E. 1.2; 141 IV 289 E. 1.3). Es bleibt die Möglichkeit, im Anschluss an den aufgrund des Rückweisungsentscheids neu ergehenden Endentscheid an das Bundesgericht zu gelangen ( Art. 93 Abs. 3 BGG ). Grundgedanke dabei ist, dass dieses sich nach dem Willen des Gesetzgebers soweit möglich nur einmal mit der gleichen Sache befassen soll ( BGE 141 III 80 E. 1.2; 142 III 798 E. 2.2; 143 III 290 E. 1.3; 144 III 475 E. 1.2).</w:t>
      </w:r>
    </w:p>
    <w:p>
      <w:r>
        <w:rPr>
          <w:b/>
        </w:rPr>
        <w:t>E. 2</w:t>
      </w:r>
    </w:p>
    <w:p>
      <w:r>
        <w:t>Vorliegend äussern sich die Beschwerdeführer mit keinem Wort zu den besonderen Anfechtungsvoraussetzungen gemäss Art. 93 Abs. 1 BGG . Damit bleibt die Eintretensfrage unbegründet und es ist somit im vereinfachten Verfahren nach Art. 108 Abs. 1 lit. b BGG auf die Beschwerde nicht einzutreten.</w:t>
      </w:r>
    </w:p>
    <w:p>
      <w:r>
        <w:rPr>
          <w:b/>
        </w:rPr>
        <w:t>E. 3</w:t>
      </w:r>
    </w:p>
    <w:p>
      <w:r>
        <w:t>Mit dem sofortigen Entscheid in der Sache wird das Gesuch um aufschiebende Wirkung gegenstandslos.</w:t>
      </w:r>
    </w:p>
    <w:p>
      <w:r>
        <w:rPr>
          <w:b/>
        </w:rPr>
        <w:t>E. 4</w:t>
      </w:r>
    </w:p>
    <w:p>
      <w:r>
        <w:t>Die Gerichtskosten sind den Beschwerdeführern unter solidarischer Haftbarkeit aufzuerlegen ( Art. 66 Abs. 1 und 5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