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5A_606/2022 vom 17. August 2022</w:t>
      </w:r>
    </w:p>
    <w:p>
      <w:r>
        <w:t>Bundesgericht, 2022-08-17, DE</w:t>
      </w:r>
    </w:p>
    <w:p>
      <w:r>
        <w:rPr>
          <w:b/>
        </w:rPr>
        <w:t xml:space="preserve">Quelle: </w:t>
      </w:r>
      <w:r>
        <w:t>https://mcp.opencaselaw.ch/entscheid/bger_5A_606_2022</w:t>
      </w:r>
    </w:p>
    <w:p>
      <w:r>
        <w:t>FR: TF 5A_606/2022 du 17 août 2022</w:t>
      </w:r>
    </w:p>
    <w:p>
      <w:r>
        <w:t>IT: TF 5A_606/2022 del 17 agosto 2022</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der nur unter den besonderen Voraussetzungen von Art. 93 Abs. 1 BGG mit Beschwerde beim Bundesgericht angefochten werden kann, wobei diese in der Beschwerde darzutun sind ( BGE 137 III 324 E. 1.1; 141 IV 289 E. 1.3). Die betreffenden Äusserungen des Beschwerdeführers sind hinreichend.</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 Vorliegend wird eine Verletzung des rechtlichen Gehörs und des Willkürverbotes geltend gemacht, wobei die Ausführungen weitestgehend appellatorisch bleiben (dazu E. 3).</w:t>
      </w:r>
    </w:p>
    <w:p>
      <w:r>
        <w:rPr>
          <w:b/>
        </w:rPr>
        <w:t>E. 2</w:t>
      </w:r>
    </w:p>
    <w:p>
      <w:r>
        <w:t>Das Obergericht hat seine Verfügung damit begründet, die Ausführungen zur Unterhaltsfestsetzung als solche Gegenstand des Entscheides in der Sache selbst bilden würden und dass der Beschwerdeführer im Übrigen keine Zahlungsschwierigkeiten geltend mache, sondern einzig, dass die Mutter angesichts ihres Gesuches um unentgeltliche Rechtspflege zu Unrecht geleistete Beträge nicht zurückzahlen könnte; indes mache er an anderer Stelle geltend, dass sie über zahlreiche Bankkonten und Wertpapiere sowie mehrere Eigentumswohnungen im In- un Ausland verfüge, weshalb ernstliche Schwierigkeiten für eine allfällige Rückforderung nicht glaubhaft gemacht seien.</w:t>
      </w:r>
    </w:p>
    <w:p>
      <w:r>
        <w:rPr>
          <w:b/>
        </w:rPr>
        <w:t>E. 3</w:t>
      </w:r>
    </w:p>
    <w:p>
      <w:r>
        <w:t>Der Beschwerdeführer macht längere Ausführungen namentlich zur Beschulung des Kindes und will daraus sinngemäss Verfassungsverletzungen im Zusammenhang mit der Unterhaltsfestsetzung ableiten. All dies war indes nicht Gegenstand der angefochtenen Verfügung; vielmehr betraf diese die Frage der aufschiebenden Wirkung, nicht das Thema der Unterhaltsfestsetzung und die damit verbundenen Umstände. Daran ändert entgegen dem (ohnehin appellatorischen) Vorbringen des Beschwerdeführers namentlich die in Kindesbelangen geltende Offizial- und Untersuchungsmaxime nichts.</w:t>
      </w:r>
    </w:p>
    <w:p>
      <w:r>
        <w:t>In Bezug auf die topische Thematik der aufschiebenden Wirkung bringt der Beschwerdeführer primär vor, dass er sich für die Unterhaltsleistungen auf Pump oder Kredit drittfinanzieren und deshalb verschulden müsste. Abgesehen davon, dass diese Behauptung appellatorisch vorgetragen wird und unbelegt bleibt, zeigt der Beschwerdeführer nicht auf, an welcher Stelle er bereits im Berufungsverfahren solche Ausführungen gemacht hätte (es wird im Übrigen nicht einmal die kantonale Berufungsschrift beigelegt) und deshalb die obergerichtliche Feststellung, wonach er keine Zahlungsschwierigkeiten vorgebracht habe, gegen verfassungsmässige Rechte verstossen würde. Insofern muss seine Behauptung, selbst wenn sie in Form einer Verfassungsrüge erhoben worden wären, als neu und damit unzulässig gelten ( Art. 99 Abs. 1 BGG ).</w:t>
      </w:r>
    </w:p>
    <w:p>
      <w:r>
        <w:t>Zur obergerichtlichen Kernerwägung, wonach Schwierigkeiten bei der Rückforderung allfällig zu Unrecht bezahlter Unterhaltsbeiträge nicht glaubhaft gemacht seien, hält der Beschwerdeführer lediglich fest, angesichts der unbegründeten und fordernden Erwartungshaltung der Mutter, welche Fr. 6'000.-- pro Monat verlangt habe, seien die Rückerstattungsschwierigkeiten zweifelsohne ausgewiesen. Abgesehen davon, dass diese Aussage jeglicher Logik entbehrt, erfolgt sie in appellatorischer und damit unzulässiger Form.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