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5A_604/2025 vom 1. Oktober 2025</w:t>
      </w:r>
    </w:p>
    <w:p>
      <w:r>
        <w:t>Bundesgericht, 2025-10-01, DE</w:t>
      </w:r>
    </w:p>
    <w:p>
      <w:r>
        <w:rPr>
          <w:b/>
        </w:rPr>
        <w:t xml:space="preserve">Quelle: </w:t>
      </w:r>
      <w:r>
        <w:t>https://mcp.opencaselaw.ch/entscheid/bger_5A_604_2025</w:t>
      </w:r>
    </w:p>
    <w:p>
      <w:r>
        <w:t>FR: TF 5A_604/2025 du 1 octobre 2025</w:t>
      </w:r>
    </w:p>
    <w:p>
      <w:r>
        <w:t>IT: TF 5A_604/2025 del 1 ottobre 2025</w:t>
      </w:r>
    </w:p>
    <w:p>
      <w:pPr>
        <w:pStyle w:val="Heading2"/>
      </w:pPr>
      <w:r>
        <w:t>Erwägungen</w:t>
      </w:r>
    </w:p>
    <w:p>
      <w:r>
        <w:rPr>
          <w:b/>
        </w:rPr>
        <w:t>E. 1</w:t>
      </w:r>
    </w:p>
    <w:p>
      <w:r>
        <w:t>Die Beschwerde hat sich auf das zu beschränken, was von der Vorinstanz beurteilt wurde; soweit mehr oder anderes verlangt wird, ist darauf nicht einzutreten ( BGE 136 II 457 E. 4.2 ; 142 I 155 E. 4.4.2). Dies war die Frage der Rechtzeitigkeit der eingelegten Beschwerde; Anfechtungsgegenstand kann deshalb grundsätzlich nur die Frage bilden,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beklagt sich in erster Linie über die erstinstanzliche Verweigerung der unentgeltlichen Rechtspflege und einen fehlenden Zugang zum Gericht. Anfechtungsgegenstand im bundesgerichtlichen Verfahren kann allerdings wie gesagt einzig die Frage des Nichteintretens auf die kantonale Beschwerde zufolge abgelaufener Beschwerdefrist bilden.</w:t>
      </w:r>
    </w:p>
    <w:p>
      <w:r>
        <w:t>Das Kantonsgericht hat sein Nichteintreten damit begründet, dass der 14. April 2025 der letzte Tag der Beschwerdefrist gewesen und die Beschwerde zwar am 12. April 2025 der Deutschen Post übergebenen worden, aber erst am 15. April 2025 bei der Schweizerischen Post eingetroffenen sei, weshalb sie sich als verspätet erweise.</w:t>
      </w:r>
    </w:p>
    <w:p>
      <w:r>
        <w:t>Diesbezüglich macht der Beschwerdeführer einzig geltend, er habe die Beschwerde per prioritären internationalen Versand aufgegeben und das Kantonsgericht habe ihm mit Schreiben vom 17. April 2025 den Eingang der Beschwerde bestätigt, ohne ihn auf allfällige Versäumnisse aufmerksam zu machen; erst zwei Monate später sei der Nichteintretensentscheid ergangen. Damit legt der Beschwerdeführer nicht dar, inwiefern seine Beschwerde innerhalb der Beschwerdefrist bei der Schweizerischen Post eingetroffen wäre (zu dieser Erfordernis Art. 143 Abs. 1 ZPO ) und der Nichteintretensentscheid deshalb Recht verletzen würde. Insbesondere besteht kein Anspruch, bereits im Zusammenhang mit dem Beschwerdeeingang auf allfällige Versäumnisse hingewiesen zu werden, und im Übrigen hätte ein solcher Hinweis nichts daran geändert, dass die Beschwerde verspätet war.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