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5A_604/2017 vom 15. August 2017</w:t>
      </w:r>
    </w:p>
    <w:p>
      <w:r>
        <w:t>Bundesgericht, 2017-08-15, DE</w:t>
      </w:r>
    </w:p>
    <w:p>
      <w:r>
        <w:rPr>
          <w:b/>
        </w:rPr>
        <w:t xml:space="preserve">Quelle: </w:t>
      </w:r>
      <w:r>
        <w:t>https://mcp.opencaselaw.ch/entscheid/bger_5A_604_2017</w:t>
      </w:r>
    </w:p>
    <w:p>
      <w:r>
        <w:t>FR: TF 5A_604/2017 du 15 août 2017</w:t>
      </w:r>
    </w:p>
    <w:p>
      <w:r>
        <w:t>IT: TF 5A_604/2017 del 15 agosto 2017</w:t>
      </w:r>
    </w:p>
    <w:p>
      <w:pPr>
        <w:pStyle w:val="Heading2"/>
      </w:pPr>
      <w:r>
        <w:t>Erwägungen</w:t>
      </w:r>
    </w:p>
    <w:p>
      <w:r>
        <w:rPr>
          <w:b/>
        </w:rPr>
        <w:t>E. 1</w:t>
      </w:r>
    </w:p>
    <w:p>
      <w:r>
        <w:t>Angefochten ist der kantonal letztinstanzliche Entscheid betreffend Behandlung ohne Zustimmung;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Die Beschwerdeführerin hält einzig fest, dass die Behandlung ohne Zustimmung eine einschneidende Massnahme darstelle und sie zu jenem Zeitpunkt ansprechbar und orientiert gewesen sei.</w:t>
      </w:r>
    </w:p>
    <w:p>
      <w:r>
        <w:t>Im angefochtenen Entscheid wird die ernsthafte Gesundheitsgefährdung, die Behandlungsbedürftigkeit und die betreffende Urteilsunfähigkeit sowie der Behandlungsplan unter Bezugnahme auf das erstellte Gutachten ausführlich behandelt. Damit setzt sich die Beschwerdeführerin nicht auseinander. Es ist nicht ersichtlich, inwiefern die Vorinstanz mit dem abweisenden angefochtenen Entscheid Recht verletzt hätte.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