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603/2008 vom 14. November 2008</w:t>
      </w:r>
    </w:p>
    <w:p>
      <w:r>
        <w:t>Bundesgericht, 2008-11-14, DE</w:t>
      </w:r>
    </w:p>
    <w:p>
      <w:r>
        <w:rPr>
          <w:b/>
        </w:rPr>
        <w:t xml:space="preserve">Quelle: </w:t>
      </w:r>
      <w:r>
        <w:t>https://mcp.opencaselaw.ch/entscheid/bger_5A_603_2008</w:t>
      </w:r>
    </w:p>
    <w:p>
      <w:r>
        <w:t>FR: TF 5A 603/2008 du 14 novembre 2008</w:t>
      </w:r>
    </w:p>
    <w:p>
      <w:r>
        <w:t>IT: TF 5A 603/2008 del 14 novembre 2008</w:t>
      </w:r>
    </w:p>
    <w:p>
      <w:pPr>
        <w:pStyle w:val="Heading2"/>
      </w:pPr>
      <w:r>
        <w:t>Regeste</w:t>
      </w:r>
    </w:p>
    <w:p>
      <w:r>
        <w:t>Verfügungen des Grundbuchamtes, Verbotsbegehren/Grundbuchsperre und Abschreibungsbeschluss betreffend Feststellung/Anweisung an das Grundbuchamt | Sachenrecht</w:t>
      </w:r>
    </w:p>
    <w:p>
      <w:pPr>
        <w:pStyle w:val="Heading2"/>
      </w:pPr>
      <w:r>
        <w:t>Erwägungen</w:t>
      </w:r>
    </w:p>
    <w:p>
      <w:r>
        <w:rPr>
          <w:b/>
        </w:rPr>
        <w:t>E. 1</w:t>
      </w:r>
    </w:p>
    <w:p>
      <w:r>
        <w:t>Rechtsschriften haben gemäss Art. 42 Abs. 1 BGG die Begehren, deren Begründung mit Angabe der Beweismittel und die Unterschrift zu enthalten. Die Beschwerdeführerin stellt das Begehren, den kantonsgerichtlichen Beschluss aufzuheben. Da die Beschwerde in Zivilsachen ein reformatorisches Rechtsmittel ist ( Art. 107 Abs. 2 BGG ), darf sich die Beschwerdeführerin grundsätzlich nicht darauf beschränken, die Aufhebung des angefochtenen Beschlusses zu beantragen, sondern muss einen Antrag in der Sache stellen. Gleich wie nach der Praxis zur Berufung gemäss OG, muss die Beschwerdeführerin demnach angeben, welche Punkte des Beschlusses angefochten und welche Abänderungen beantragt werden. Grundsätzlich ist ein materieller Antrag erforderlich; Anträge auf Rückweisung der Sache an die Vorinstanz zu neuer Entscheidung oder blosse Aufhebungsanträge genügen nicht und machen die Beschwerde unzulässig. Ein blosser Rückweisungsantrag reicht ausnahmsweise aus, wenn das Bundesgericht im Falle der Gutheissung in der Sache nicht selbst entscheiden könnte, weil die erforderlichen Sachverhaltsfeststellungen der Vorinstanz fehlen ( BGE 134 III 379 E. 1.3 S. 383). Die Beschwerdeführerin stellt keinen materiellen Antrag, sondern verlangt lediglich die Aufhebung des angefochtenen Beschlusses. Dass das Bundesgericht im Falle der Gutheissung der Beschwerde nicht selbst in der Lage wäre, ein Sachurteil zu fällen, wird in der Beschwerdeschrift nicht dargetan, wie das die Rechtsprechung verlangt ( BGE 133 III 489 E. 3.2 S. 490). Das Gesuch der Beschwerdeführerin um Vervollständigung des Rechtsbegehrens legt indessen nahe, dass ein materieller, auf Eintragungen im Grundbuch bezogener Antrag hätte gestellt werden können. Dazu ist es nach Ablauf der Beschwerdefrist zu spät ( BGE 134 IV 156 E. 1.7 S. 162). Eine Nachfrist zur Ergänzung von Rechtsschriften, die den formellen Anforderungen, wie sie sich aus Gesetz und Rechtsprechung ergeben, nicht genügen, kann nicht gewährt werden ( BGE 134 II 244 E. 2.4.2 S. 247 f.).</w:t>
      </w:r>
    </w:p>
    <w:p>
      <w:r>
        <w:rPr>
          <w:b/>
        </w:rPr>
        <w:t>E. 2</w:t>
      </w:r>
    </w:p>
    <w:p>
      <w:r>
        <w:t>Auf eine Beschwerde mit formell mangelhaften Rechtsbegehren kann das Bundesgericht ausnahmsweise dann eintreten, wenn sich aus der Beschwerdebegründung, allenfalls in Verbindung mit dem angefochtenen Entscheid, "zweifelsfrei" bzw. "ohne weiteres" ergibt, was die Beschwerdeführerin in der Sache verlangt ( BGE 133 II 409 E. 1.4 S. 414 f.; 134 V 208 E. 1 S. 210) oder - im Falle zu beziffernder Rechtsbegehren - welchen Geldbetrag die Beschwerdeführerin von der Beschwerdegegnerin fordert ( BGE 134 III 235 E. 2 S. 236 f.). Die Voraussetzungen sind hier nicht erfüllt. Das Kantonsgericht hat über drei Rechtsmittel der Beschwerdeführerin gegen drei verschiedene Entscheide in einem einzigen Beschluss geurteilt, den die Beschwerdeführerin offenbar mit Bezug auf alle drei Entscheide anfechten will. Ihre voneinander unabhängigen Rechtsmittelanträge in den kantonalen Verfahren haben sich insofern wechselseitig ausgeschlossen, als die Beschwerdeführerin zum einen mit Grundbuchbeschwerde begehrt hat, sie sei als Eigentümerin von GB xxxx nicht zu löschen, sondern im Grundbuch zu belassen, weil die Beschwerdegegnerin die urteilsmässig festgelegten Bedingungen für die Eigentumsübertragung nicht erfüllt habe (Bst. B/a hiervor). Zum anderen hat die Beschwerdeführerin in dem von ihr angestrengten Gesuchs- und Rekursverfahren aber auch begehrt, die Eintragung der Beschwerdegegnerin als Eigentümerin lediglich zu verbieten, bis ihr Aufwendungen und Unkosten von insgesamt Fr. 154'448.20 erstattet worden seien (Bst. B/b hievor). Diese Rechtsbegehren können nicht kumuliert werden, weil die Beschwerdeführerin entweder Eigentümerin sein will und in ihr Eigentum investiert bzw. dafür Kosten getragen hat oder das Eigentumsrecht der Beschwerdegegnerin im Grundsatz anerkennt und Ersatz für ihre Investitionen und Unkosten fordert. Die Rechtsbegehren stehen nach ihrer Vereinigung durch das Kantonsgericht somit in einem Alternativverhältnis und widersprechen heute dem Grundsatz, dass ein bestimmtes Begehren zu stellen ist und dass es nicht dem Bundesgericht überlassen werden darf, nach seinem Gutdünken das eine oder andere Begehren zu schützen (vgl. GULDENER, Schweizerisches Zivilprozessrecht, 3.A. Zürich 1979, S. 214 Ziff. I/1/c; z.B. Urteil 4C.387/2001 vom 10. September 2002 E. 7.2 S. 18; ausführlich: SUTER, Zur objektiven Klagenhäufung, insbesondere zur eventuellen Häufung nach baselstädtischem Zivilprozessrecht, BJM 1997 S. 281 ff., S. 290 f., mit Hinweisen). In Anbetracht der Verfahrenslage müsste die Beschwerdeführerin dem Bundesgericht deutlich sagen, worauf sie hinaus will. Verlangt sie, Eigentümerin von GB xxxx zu bleiben, oder fordert sie Ersatz des Aufwands, der ihr nach dem Kauf der vorkaufsbelasteten Liegenschaft entstanden ist, oder stellt sie die beiden alternativen Begehren in einem ebenfalls von ihr näher zu bezeichnenden Verhältnis von Haupt- und Eventualantrag. Der blosse Aufhebungsantrag vor Bundesgericht vermag deshalb auch mit Rücksicht auf die Beschwerdebegründung und den angefochtenen Beschluss nicht zweifelsfrei und ohne weiteres zu verdeutlichen, was die Beschwerdeführerin in der Sache begehrt.</w:t>
      </w:r>
    </w:p>
    <w:p>
      <w:r>
        <w:rPr>
          <w:b/>
        </w:rPr>
        <w:t>E. 3</w:t>
      </w:r>
    </w:p>
    <w:p>
      <w:r>
        <w:t>Aus den dargelegten Gründen kann auf die Beschwerde nicht eingetreten werden. Die Beschwerdeführerin hat ihr Gesuch um Verfahrenssistierung nicht erneuert und auch keinen sachlichen Grund dargetan, der ein Aussetzen des Verfahrens rechtfertigte. Auch insoweit kann auf die Eingabe nicht eingetreten werden ( Art. 6 Abs. 1 BZP i.V.m. Art. 71 BGG ). Die Beschwerdeführerin wird kostenpflichtig ( Art. 66 Abs. 1 BGG ) und schuldet der Beschwerdegegnerin, die mit ihrem Antrag auf Abweisung des Gesuchs um aufschiebende Wirkung obsiegt hat, eine angemessene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