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602/2018 vom 30. Juli 2018</w:t>
      </w:r>
    </w:p>
    <w:p>
      <w:r>
        <w:t>Bundesgericht, 2018-07-30, FR</w:t>
      </w:r>
    </w:p>
    <w:p>
      <w:r>
        <w:rPr>
          <w:b/>
        </w:rPr>
        <w:t xml:space="preserve">Quelle: </w:t>
      </w:r>
      <w:r>
        <w:t>https://mcp.opencaselaw.ch/entscheid/bger_5A_602_2018</w:t>
      </w:r>
    </w:p>
    <w:p>
      <w:r>
        <w:t>FR: TF 5A 602/2018 du 30 juillet 2018</w:t>
      </w:r>
    </w:p>
    <w:p>
      <w:r>
        <w:t>IT: TF 5A 602/2018 del 30 luglio 2018</w:t>
      </w:r>
    </w:p>
    <w:p>
      <w:pPr>
        <w:pStyle w:val="Heading2"/>
      </w:pPr>
      <w:r>
        <w:t>Regeste</w:t>
      </w:r>
    </w:p>
    <w:p>
      <w:r>
        <w:t>modification du jugement de divorce (contribution d'entretien) | Droit de la famille</w:t>
      </w:r>
    </w:p>
    <w:p>
      <w:pPr>
        <w:pStyle w:val="Heading2"/>
      </w:pPr>
      <w:r>
        <w:t>Erwägungen</w:t>
      </w:r>
    </w:p>
    <w:p>
      <w:r>
        <w:rPr>
          <w:b/>
        </w:rPr>
        <w:t>E. 1</w:t>
      </w:r>
    </w:p>
    <w:p>
      <w:r>
        <w:t>Par arrêt du 8 juin 2018, la Cour d'appel civile du Tribunal cantonal du canton de Vaud a rejeté l'appel interjeté le 22 janvier 2018 par A.________ et confirmé le jugement rendu le 8 décembre 2017 par le Tribunal civil de l'arrondissement de Lausanne rejetant la demande en modification de jugement de divorce déposée le 28 septembre 2016 par A.________ contre B.________, née... (ch. I) et confirmant la teneur du chiffre I de la convention signée le 1er juillet 2014 par les parties, ratifiée à cette date par la Présidente du Tribunal d'arrondissement de Lausanne pour valoir jugement en modification de jugement de divorce exécutoire, prévoyant que A.________ verserait à B.________ une contribution d'entretien mensuelle de 700 fr., dès le 1er juin 2014. La Cour d'appel civile du Tribunal cantonal a retenu que l'appelant n'avait ni allégué ni prouvé ses charges incompressibles et que ses revenus (rente vieillesse de 2'246 fr.), même en faisant abstraction - ce qu'il n'y avait pas lieu de faire - de la rente complémentaire qu'il perçoit de son fils, couvraient son minimum vital (1'979 fr. 80). S'agissant de la péjoration de sa situation financière, l'appelant avait invoqué deux motifs : le versement de l'arriéré de pensions dues à l'intimée acquitté grâce à ses fonds de prévoyance et la majorité de son fils intervenue le 4 avril 2018, ayant pour conséquence la fin du versement de la rente AVS pour enfant. Quant au premier motif, la cour cantonale a jugé que l'arriéré de pensions avait été accumulé par la faute de l'appelant puisque ses ressources devaient permettre de verser cette contribution d'entretien, en sorte qu'il ne pouvait pas se prévaloir de cet argument pour requérir la suppression de la contribution d'entretien. En tant que l'appelant faisait valoir qu'il perdait la rente complémentaire AVS pour enfant, les juges précédents ont précisé que le fait nouveau de l'entrée en apprentissage de son fils avait été introduit tardivement, mais qu'au demeurant, le grief était infondé parce-que légalement l'appelant devait continuer à percevoir cette rente complémentaire puisque son fils en apprentissage gagne moins que le montant d'une rente maximale AVS ( art. 43bis al. 3 RAVS ). En définitive, la Cour d'appel civile du Tribunal cantonal a jugé que l'appelant n'avait pas établi une péjoration de sa situation financière depuis le jugement du 1er juillet 2014.</w:t>
      </w:r>
    </w:p>
    <w:p>
      <w:r>
        <w:rPr>
          <w:b/>
        </w:rPr>
        <w:t>E. 2</w:t>
      </w:r>
    </w:p>
    <w:p>
      <w:r>
        <w:t>Par acte du 16 juillet 2018, A.________ exerce un recours en matière civile au Tribunal fédéral, concluant à l'annulation de l'arrêt entrepris et au renvoi de la cause à l'autorité inférieure. Au préalable, le recourant sollicite d'être mis au bénéfice de l'assistance judiciaire pour la procédure fédérale.</w:t>
      </w:r>
    </w:p>
    <w:p>
      <w:r>
        <w:rPr>
          <w:b/>
        </w:rPr>
        <w:t>E. 3</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 En l'espèce, le recourant se limite à prendre une conclusion cassatoire et en renvoi de la cause à l'autorité de première instance. Dès lors que le litige porte sur le versement d'une contribution d'entretien en faveur de l'ex-épouse, le recourant - assisté d'un avocat - était à l'évidence en mesure de prendre une conclusion réformatoire, d'autant qu'il ne soulève aucun grief de nature formelle. Le recourant n'explique nullement en quoi la réforme de l'arrêt déféré par le Tribunal fédéral serait impossible. De surcroît, il ne désigne pas ni sur sa page de titre ni dans ses conclusions la partie adverse. Cependant, à la lecture du mémoire de recours et par rapprochement de l'arrêt querellé et du mémoire d'appel, la modification de la contribution d'entretien à laquelle le recourant entendait vraisemblablement conclure est reconnaissable. La recevabilité du recours a cet égard - douteuse - peut toutefois souffrir de demeurer indécise, le recours devant être d'emblée déclaré mal fondé pour le motif suivant :</w:t>
      </w:r>
    </w:p>
    <w:p>
      <w:r>
        <w:rPr>
          <w:b/>
        </w:rPr>
        <w:t>E. 4</w:t>
      </w:r>
    </w:p>
    <w:p>
      <w:r>
        <w:t>Dans son écriture, le recourant expose, après avoir énoncé le principe général de l'interdiction de l'arbitraire ( art. 9 Cst. ), que l'autorité cantonale a considéré que l'utilisation de ses fonds de prévoyance pour le paiement des arriérés et la majorité de son fils n'avaient pas engendrés de changement notable et durable de sa situation financière. Autant que suffisamment motivées (au regard de l'exigence accrue d'un grief constitutionnel : art. 106 al. 2 LTF ), ces critiques sont d'emblée mal fondées. Réitérant les mêmes critiques et substituant sa propre appréciation à celle de l'autorité précédente, le recourant ignore complètement la motivation de la cour cantonale, laquelle a répondu en détail sur plus de six pages à chacun de ses griefs. Il peut donc entièrement être renvoyé à la motivation de l'arrêt entrepris ( art. 109 al. 3 LTF ).</w:t>
      </w:r>
    </w:p>
    <w:p>
      <w:r>
        <w:rPr>
          <w:b/>
        </w:rPr>
        <w:t>E. 5</w:t>
      </w:r>
    </w:p>
    <w:p>
      <w:r>
        <w:t>En définitive, le recours, manifestement mal fondé dans la faible mesure de sa recevabilité, doit être rejeté selon la procédure simplifiée prévue à l' art. 109 al. 2 let. a et al. 3 LTF . Le présent recours étant d'emblée dénué de chance de succès, la requête d'assistance judiciaire pour la procédure fédérale déposée par le recourant ne saurait être agréée ( art. 64 al. 1 LTF ). Les frais judiciaires, arrêtés à 700 fr., doivent par conséquent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