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5A_602/2017 vom 15. August 2017</w:t>
      </w:r>
    </w:p>
    <w:p>
      <w:r>
        <w:t>Bundesgericht, 2017-08-15, DE</w:t>
      </w:r>
    </w:p>
    <w:p>
      <w:r>
        <w:rPr>
          <w:b/>
        </w:rPr>
        <w:t xml:space="preserve">Quelle: </w:t>
      </w:r>
      <w:r>
        <w:t>https://mcp.opencaselaw.ch/entscheid/bger_5A_602_2017</w:t>
      </w:r>
    </w:p>
    <w:p>
      <w:r>
        <w:t>FR: TF 5A_602/2017 du 15 août 2017</w:t>
      </w:r>
    </w:p>
    <w:p>
      <w:r>
        <w:t>IT: TF 5A_602/2017 del 15 agosto 2017</w:t>
      </w:r>
    </w:p>
    <w:p>
      <w:pPr>
        <w:pStyle w:val="Heading2"/>
      </w:pPr>
      <w:r>
        <w:t>Erwägungen</w:t>
      </w:r>
    </w:p>
    <w:p>
      <w:r>
        <w:rPr>
          <w:b/>
        </w:rPr>
        <w:t>E. 1</w:t>
      </w:r>
    </w:p>
    <w:p>
      <w:r>
        <w:t>Angefochten ist ein kantonal letztinstanzlicher Entscheid betreffend fürsorgerische Unterbringung; die Beschwerde in Zivilsachen steht offen (Art. 72 Abs. 2 lit. b Ziff. 6,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Beschwerdeführerin hält ausschliesslich fest, sie richte sich gegen das Urteil vom 24. Juli 2017 und erhebe dagegen Rekurs. Darin kann im Kontext ein sinngemässes Rechtsbegehren auf Entlassung aus der Klinik, jedoch keinerlei Begründung abgeleitet werden.</w:t>
      </w:r>
    </w:p>
    <w:p>
      <w:r>
        <w:t>Im Übrigen ist festzuhalten, dass im angefochtenen Entscheid der Schwächezustand, die Notwendigkeit der stationären Unterbringung und die Eignung der Klinik ausführlich dargestellt ist.</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