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5A_601/2024 vom 22. Oktober 2024</w:t>
      </w:r>
    </w:p>
    <w:p>
      <w:r>
        <w:t>Bundesgericht, 2024-10-22, FR</w:t>
      </w:r>
    </w:p>
    <w:p>
      <w:r>
        <w:rPr>
          <w:b/>
        </w:rPr>
        <w:t xml:space="preserve">Quelle: </w:t>
      </w:r>
      <w:r>
        <w:t>https://mcp.opencaselaw.ch/entscheid/bger_5A_601_2024</w:t>
      </w:r>
    </w:p>
    <w:p>
      <w:r>
        <w:t>FR: TF 5A_601/2024 du 22 octobre 2024</w:t>
      </w:r>
    </w:p>
    <w:p>
      <w:r>
        <w:t>IT: TF 5A_601/2024 del 22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23 août 2024, le Juge unique de la Cour d'appel civile du Tribunal cantonal du canton de Vaud a déclaré irrecevable l'appel de A.________ contre une ordonnance de mesures provisionnelles prise le 11 juillet 2024 par la Présidente du Tribunal d'arrondissement de La Côte.</w:t>
      </w:r>
    </w:p>
    <w:p>
      <w:r>
        <w:rPr>
          <w:b/>
        </w:rPr>
        <w:t>E. 2</w:t>
      </w:r>
    </w:p>
    <w:p>
      <w:r>
        <w:t>Par écriture expédiée le 9 septembre 2024, la prénommée exerce un recours au "</w:t>
      </w:r>
    </w:p>
    <w:p>
      <w:r>
        <w:t>Tribunen Bundes Gericht " à Berne contre l'arrêt précité.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comme recours en matière civile au sens de l' art. 72 al. 1 LTF . Il apparaît superflu de discuter les autres conditions de recevabilité, ce procédé étant voué à l'échec.</w:t>
      </w:r>
    </w:p>
    <w:p>
      <w:r>
        <w:rPr>
          <w:b/>
        </w:rPr>
        <w:t>E. 4.1</w:t>
      </w:r>
    </w:p>
    <w:p>
      <w:r>
        <w:t>En l'espèce, le juge cantonal a retenu que l'ordonnance entreprise avait été notifiée le 12 juillet 2024 au conseil d'alors de la recourante, de sorte que le délai d'appel expirait le 22 juillet 2024; remis à la poste le lendemain, l'appel était ainsi tardif, partant irrecevable. Au surplus, ce magistrat a considéré que l'appel n'était pas motivé et ne comportait pas de conclusions, si bien qu'il était également irrecevable au regard de l' art. 311 al. 1 CPC .</w:t>
      </w:r>
    </w:p>
    <w:p>
      <w:r>
        <w:rPr>
          <w:b/>
        </w:rPr>
        <w:t>E. 4.2</w:t>
      </w:r>
    </w:p>
    <w:p>
      <w:r>
        <w:t>La décision attaquée porte sur des mesures provisionnelles au sens de l' art. 98 LTF ; partant, la recourante ne peut se plaindre que d'une violation de ses droits constitutionnels, moyen qu'elle est en outre tenue de motiver conformément aux exigences de l' art. 106 al. 2 LTF (parmi d'autres: ATF 135 III 232 consid. 1.2 et la jurisprudence citée).</w:t>
      </w:r>
    </w:p>
    <w:p>
      <w:r>
        <w:t>Le présent recours ne satisfait aucunement à ces réquisits. En effet, la recourante ne soulève pas le moindre grief de nature constitutionnelle à l'encontre des motifs d'irrecevabilité pris en compte par le magistrat précédent, mais s'exprime - de manière au demeurant confuse - sur le fond du litige, en particulier sur le retrait de ses droits parentaux. Quoi qu'elle en dise, la remise du recours dans le délai légal au "</w:t>
      </w:r>
    </w:p>
    <w:p>
      <w:r>
        <w:t>secrétariat de l'Hôpital de U.________ " ne sauvegarde pas le délai d'appel. Il s'ensuit que le recours est entièrement irrecevable.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