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5A_601/2020 vom 31. Juli 2020</w:t>
      </w:r>
    </w:p>
    <w:p>
      <w:r>
        <w:t>Bundesgericht, 2020-07-31, FR</w:t>
      </w:r>
    </w:p>
    <w:p>
      <w:r>
        <w:rPr>
          <w:b/>
        </w:rPr>
        <w:t xml:space="preserve">Quelle: </w:t>
      </w:r>
      <w:r>
        <w:t>https://mcp.opencaselaw.ch/entscheid/bger_5A_601_2020</w:t>
      </w:r>
    </w:p>
    <w:p>
      <w:r>
        <w:t>FR: TF 5A_601/2020 du 31 juillet 2020</w:t>
      </w:r>
    </w:p>
    <w:p>
      <w:r>
        <w:t>IT: TF 5A_601/2020 del 31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19 décembre 2019, par voie de mesures protectrices de l'union conjugale, le Tribunal de première instance de Genève a, entre autres points, attribué à A.A.________ (</w:t>
      </w:r>
    </w:p>
    <w:p>
      <w:r>
        <w:t>mère ) la garde sur les enfants mineurs C.________, née en 2008, et D.________, née en 2015 (ch. 2), réservé à B.A.________ (</w:t>
      </w:r>
    </w:p>
    <w:p>
      <w:r>
        <w:t>père ) un droit de visite (ch. 3), fixé la contribution du père à l'entretien des enfants (ch. 5 et 6) et statué sur les frais (ch. 7 et 8).</w:t>
      </w:r>
    </w:p>
    <w:p>
      <w:r>
        <w:t>Par arrêt du 9 juin 2020, la Chambre civile de la Cour de justice du canton de Genève a accueilli l'appel interjeté par le père et annulé les ch. 5 et 6 du dispositif du jugement précité.</w:t>
      </w:r>
    </w:p>
    <w:p>
      <w:r>
        <w:rPr>
          <w:b/>
        </w:rPr>
        <w:t>E. 2</w:t>
      </w:r>
    </w:p>
    <w:p>
      <w:r>
        <w:t>Par mémoire expédié le 24 juillet 2020, la mère exerce un recours en matière civile au Tribunal fédéral contre l'arrêt cantonal; en substance, elle conclut au rétablissement des contributions d'entretien supprimées par la cour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Aux termes de l' art. 100 al. 1 LTF , le recours contre une décision doit être déposé dans les 30 jours qui suivent la notification de l'expédition complète. La computation du délai obéit aux art. 44 ss LTF , étant précisé que l'arrêt attaqué porte sur des mesures provisionnelles au sens de l' art. 98 LTF ( ATF 133 III 585 consid. 3), en sorte que la suspension prévue à l' art. 46 al. 1 let. b LTF ne s'applique pas en l'espèce ( art. 46 al. 2 LTF ; ATF 134 III 667 consid. 1.3 et les arrêts cités).</w:t>
      </w:r>
    </w:p>
    <w:p>
      <w:r>
        <w:t>Il est constant que la décisionentreprise a été notifiée à la recourante le (mardi)</w:t>
      </w:r>
    </w:p>
    <w:p>
      <w:r>
        <w:t>23 juin 2020 - ce qu'elle reconnaît expressément -, si bien que le délai est arrivé à échéance le (jeudi)</w:t>
      </w:r>
    </w:p>
    <w:p>
      <w:r>
        <w:t>23 juillet suivant . Mis à la poste le 24 juillet 2020, le recours est tardif, partant irrecevable.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a LTF ), avec suite de frais à la charge de la recourante ( art. 66 al. 1 LTF 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