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5A_600/2024 vom 1. Oktober 2024</w:t>
      </w:r>
    </w:p>
    <w:p>
      <w:r>
        <w:t>Bundesgericht, 2024-10-01, FR</w:t>
      </w:r>
    </w:p>
    <w:p>
      <w:r>
        <w:rPr>
          <w:b/>
        </w:rPr>
        <w:t xml:space="preserve">Quelle: </w:t>
      </w:r>
      <w:r>
        <w:t>https://mcp.opencaselaw.ch/entscheid/bger_5A_600_2024</w:t>
      </w:r>
    </w:p>
    <w:p>
      <w:r>
        <w:t>FR: TF 5A_600/2024 du 1 octobre 2024</w:t>
      </w:r>
    </w:p>
    <w:p>
      <w:r>
        <w:t>IT: TF 5A_600/2024 del 1 ottobre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B.________ et A.________ se sont mariés en 1978; ils ont divorcé en 2021. B.________ est décédé à Lausanne en 2024.</w:t>
      </w:r>
    </w:p>
    <w:p>
      <w:r>
        <w:rPr>
          <w:b/>
        </w:rPr>
        <w:t>E. 1.2</w:t>
      </w:r>
    </w:p>
    <w:p>
      <w:r>
        <w:t>Le 3 juin 2024, A.________ a déposé au Greffe de la Justice de paix du district de Lausanne un testament olographe, déchiré, signé par son ex-mari et daté du 15 mars 2017, ainsi qu'une enveloppe, elle aussi déchirée, indiquant "</w:t>
      </w:r>
    </w:p>
    <w:p>
      <w:r>
        <w:t>Pour ma femme A.________ ".</w:t>
      </w:r>
    </w:p>
    <w:p>
      <w:r>
        <w:t>Par décision du 27 juin 2024, la Juge de paix du district de Lausanne a refusé d'homologuer cet acte.</w:t>
      </w:r>
    </w:p>
    <w:p>
      <w:r>
        <w:t>Par arrêt du 8 juillet 2024, la Chambre des recours du Tribunal cantonal vaudois a déclaré irrecevable le recours déposé par A.________ à l'encontre de la décision précitée.</w:t>
      </w:r>
    </w:p>
    <w:p>
      <w:r>
        <w:rPr>
          <w:b/>
        </w:rPr>
        <w:t>E. 2</w:t>
      </w:r>
    </w:p>
    <w:p>
      <w:r>
        <w:t>Par acte expédié le 5 septembre 2024 - transmis par le Juge délégué de la cour cantonale -, la prénommée interjette un recours au Tribunal fédéral contre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de la recourante est traitée en tant que recours en matière civile au sens de l' art. 72 al. 1 LTF (en relation avec l' art. 557 CC ; arrêt 5A_852/2023 du 26 mars 2024 consid. 1). Il n'y a pas lieu de discuter les autres conditions de recevabilité, ce procédé étant clairement voué à l'échec.</w:t>
      </w:r>
    </w:p>
    <w:p>
      <w:r>
        <w:rPr>
          <w:b/>
        </w:rPr>
        <w:t>E. 4.1</w:t>
      </w:r>
    </w:p>
    <w:p>
      <w:r>
        <w:t>En l'espèce, l'autorité précédente a considéré que le recours était irrecevable faute de satisfaire aux exigences de motivation posées par l' art. 321 al. 1 CPC : en bref, la recourante n'a soulevé aucun grief en lien avec les motifs de la décision entreprise et n'a pas contesté avoir perdu ensuite du divorce, conformément à l' art. 120 al. 3 ch. 1 CC , tous les avantages résultant des dispositions pour cause de mort établies durant le mariage (</w:t>
      </w:r>
    </w:p>
    <w:p>
      <w:r>
        <w:t>i.c. le testament du 15 mars 2017).</w:t>
      </w:r>
    </w:p>
    <w:p>
      <w:r>
        <w:rPr>
          <w:b/>
        </w:rPr>
        <w:t>E. 4.2</w:t>
      </w:r>
    </w:p>
    <w:p>
      <w:r>
        <w:t>La recourante ne contredit nullement le motif d'irrecevabilité retenu par la juridiction précédente, mais s'exprime sur le fond du litige - en l'occurrence sur la validité du testament litigieux -, en se référant par ailleurs à de nombreux faits relatifs au "</w:t>
      </w:r>
    </w:p>
    <w:p>
      <w:r>
        <w:t>parcours de vie " des ex-époux qui ne ressortent pas de l'arrêt déféré (art. 99 al. 1 et 105 al. 1 LTF). Il s'ensuit que le recours est entièrement irrecevable (art. 42 al. 2 et 106 al. 2 LTF; ATF 142 III 364 consid. 2.4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