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5A_600/2016 vom 30. Mai 2017</w:t>
      </w:r>
    </w:p>
    <w:p>
      <w:r>
        <w:t>Bundesgericht, 2017-05-30, DE</w:t>
      </w:r>
    </w:p>
    <w:p>
      <w:r>
        <w:rPr>
          <w:b/>
        </w:rPr>
        <w:t xml:space="preserve">Quelle: </w:t>
      </w:r>
      <w:r>
        <w:t>https://mcp.opencaselaw.ch/entscheid/bger_5A_600_2016</w:t>
      </w:r>
    </w:p>
    <w:p>
      <w:r>
        <w:t>FR: TF 5A_600/2016 du 30 mai 2017</w:t>
      </w:r>
    </w:p>
    <w:p>
      <w:r>
        <w:t>IT: TF 5A_600/2016 del 30 maggio 2017</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75 Abs. 1 und 90 BGG). Der Streitwert übersteigt Fr. 30'000.-- (Art. 74 Abs. 1 Bst. b BGG). Die Beschwerde ist damit grundsätzlich zulässig.</w:t>
      </w:r>
    </w:p>
    <w:p>
      <w:r>
        <w:rPr>
          <w:b/>
        </w:rPr>
        <w:t>E. 1.2</w:t>
      </w:r>
    </w:p>
    <w:p>
      <w:r>
        <w:t>Die Beschwerdeschrift ist auf Französisch verfasst, mithin in einer Amtssprache, was zulässig ist ( Art. 42 Abs. 1 BGG ). Das Verfahren wird gleichwohl in der Sprache des angefochtenen Entscheides und somit auf Deutsch geführt ( Art. 54 Abs. 1 BGG ).</w:t>
      </w:r>
    </w:p>
    <w:p>
      <w:r>
        <w:rPr>
          <w:b/>
        </w:rPr>
        <w:t>E. 1.3</w:t>
      </w:r>
    </w:p>
    <w:p>
      <w:r>
        <w:t>Vor Bundesgericht sind neue Begehren unzulässig ( Art. 99 Abs. 2 BGG ). Vor Obergericht hat die Beschwerdeführerin für ihre Forderung aus Güterrecht kein beziffertes Begehren gestellt. Das Obergericht hat jedoch aus der Berufungsschrift eine Forderung von Fr. 1'940'506.-- abgeleitet. Vor Bundesgericht stellt die Beschwerdeführerin eine Forderung aus Güterrecht im Betrag von 4,5 Mio. Franken. Damit verlangt sie mehr als vor Obergericht; im entsprechenden Umfang gilt das Begehren als neu und ist damit unzulässig. Soweit den Betrag von Fr. 1'940'506.-- übersteigend, ist auf die Beschwerde nicht einzutreten. Das gilt auch für den nach den Feststellungen der Vorinstanz bereits rechtskräftig erledigten Vorsorgeausgleich (Genehmigung Teilvereinbarung), zu dem die Beschwerdeführerin neue Begehren stellt.</w:t>
      </w:r>
    </w:p>
    <w:p>
      <w:r>
        <w:t>Die in Form von Rechtsbegehren erhobenen Tatsachenbehauptungen (das Vermögen der Ehegatten habe am 31. Dezember 2005 4,8 Mio. Franken betragen; Darlehensforderung gegenüber G.________ und Rechtsbehauptungen (die Steuerschulden für die Jahre 2003-2005 seien dem Eigengut des Beschwerdegegners zuzuweisen), sind als solche zu behandeln. Als Rechtsbegehren haben sie keine eigenständige Bedeutung.</w:t>
      </w:r>
    </w:p>
    <w:p>
      <w:r>
        <w:rPr>
          <w:b/>
        </w:rPr>
        <w:t>E. 1.4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Solche "echte" Noven sind im bundesgerichtlichen Verfahren unzulässig ( BGE 135 I 221 E. 5.2.4; 133 IV 342 E. 2.1). Die neu ins Recht gelegten Schriftstücke sind daher unbeachtlich. Dasselbe Schicksal teilen die Urkunden, welche die Beschwerdeführerin erst nach Ablauf der Beschwerdefrist eingereicht hat.</w:t>
      </w:r>
    </w:p>
    <w:p>
      <w:r>
        <w:rPr>
          <w:b/>
        </w:rPr>
        <w:t>E. 1.5</w:t>
      </w:r>
    </w:p>
    <w:p>
      <w:r>
        <w:t>Was den Sachverhalt angeht, legt das Bundesgericht seinem Urteil die Feststellungen der Vorinstanz zugrunde ( Art. 105 Abs. 1 BGG ). Die Beschwerdeführerin beantragt, der Beschwerdegegner und bestimmte Dritte seien im Verfahren vor Bundesgericht gestützt auf Art. 170 ZGB zur Auskunftserteilung zu verpflichten. Damit kritisiert sie die vorinstanzliche Sachverhaltsfeststellung, ohne ausreichend begründet zu rügen ( Art. 106 Abs. 2 BGG ), dass diese willkürlich sei ( Art. 97 Abs. 1 BGG ; BGE 140 III 264 E. 2.3 - dazu E. 3, unten). Auf den Antrag gemäss Art. 170 ZGB wird bereits aus diesem Grund nicht eingetreten. Damit fehlt die Grundlage für den Erlass einer Verfügungsbeschränkung nach Art. 178 ZGB ; auch auf diesen Antrag ist nicht einzutreten. Zu prüfen ist in diesem Zusammenhang einzig, ob der Antrag der Beschwerdeführerin auf Auskunftserteilung in den kantonalen Verfahren rechtskonform erledigt wurde (E. 2 unten).</w:t>
      </w:r>
    </w:p>
    <w:p>
      <w:r>
        <w:rPr>
          <w:b/>
        </w:rPr>
        <w:t>E. 1.6</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Diesen Anforderungen kommt die Beschwerdeführerin in folgender Hinsicht nicht nach:</w:t>
      </w:r>
    </w:p>
    <w:p>
      <w:r>
        <w:t>Das Obergericht beurteilte gewisse Tatsachenbehauptungen als neu und gestützt auf Art. 317 Abs. 1 ZPO als unbeachtlich (hier relevant : die Umstände, welche bei Steuerschulden aus den Jahren 2003-2005 auf Eigengut schliessen lassen [angefochtenes Urteil E. V/4.c S. 20]). Sodann erwog es, die erstmals vor oberer Instanz gestellten Begehren seien gestützt auf Art. 317 Abs. 2 ZPO unzulässig (hier relevant: der Antrag auf Editionsbegehren gegenüber Dritten [angefochtenes Urteil E. IV.2 S. 14]; Forderung betreffend das Freizügigkeitskonto Nr. zzz [angefochtenes Urteil E. V/12 S. 33]). Schliesslich warf das Obergericht der Beschwerdeführerin vor, sich bei der Darlehensforderung gegenüber G.________ darauf zu beschränken, in der Berufung den bereits vor der ersten Instanz eingenommenen Standpunkt zu wiederholen, ohne sich mit den Ausführungen im erstinstanzlichen Urteil auseinanderzusetzen, weshalb sie ihren Begründungspflichten nicht nachgekommen und folglich darauf nicht einzutreten sei (angefochtenes Urteil E. V/10 S. 29). Mit den entsprechenden Erwägungen setzt sich die Beschwerdeführerin nicht auseinander. Auf die damit im Zusammenhang stehenden Ausführungen in der Beschwerdeschrift ist daher nicht einzutreten ( BGE 140 III 86 E. 2; 140 III 115 E. 2). Damit erübrigt sich auch die Prüfung diesbezüglicher rechtlicher Rügen.</w:t>
      </w:r>
    </w:p>
    <w:p>
      <w:r>
        <w:rPr>
          <w:b/>
        </w:rPr>
        <w:t>E. 1.7</w:t>
      </w:r>
    </w:p>
    <w:p>
      <w:r>
        <w:t>Einzutreten ist mithin nur auf das Begehren um Zuweisung des Miteigentumsanteils des Beschwerdegegners an der Familienwohnung an die Beschwerdeführerin sowie auf die Forderung aus Güterrecht im Maximalbetrag von Fr. 1'940'506.--.</w:t>
      </w:r>
    </w:p>
    <w:p>
      <w:r>
        <w:rPr>
          <w:b/>
        </w:rPr>
        <w:t>E. 2</w:t>
      </w:r>
    </w:p>
    <w:p>
      <w:r>
        <w:t>Die Beschwerdeführerin rügt sinngemäss, im kantonalen Verfahren seien ihre jeweiligen Anträge nach Art. 170 ZGB zu Unrecht abgewiesen worden.</w:t>
      </w:r>
    </w:p>
    <w:p>
      <w:r>
        <w:rPr>
          <w:b/>
        </w:rPr>
        <w:t>E. 2.1</w:t>
      </w:r>
    </w:p>
    <w:p>
      <w:r>
        <w:t>Nach Art. 170 Abs. 1 ZGB kann jeder Ehegatte vom andern Auskunft über dessen Einkommen, Vermögen und Schulden verlangen. Der Richter kann den andern Ehegatten oder Dritte auf Begehren verpflichten, die erforderlichen Auskünfte zu erteilen und die notwendigen Urkunden vorzulegen ( Art. 170 Abs. 2 ZGB ). Der Auskunftsanspruch kann in einem unabhängigen Verfahren oder vorfrageweise in einem eherechtlichen Verfahren geltend gemacht werden (Urteil 5A_9/2015 vom 10. August 2015 E. 3.1). Der richterliche Entscheid darüber ergeht nach einer umfassenden Prüfung in rechtlicher und tatsächlicher Hinsicht und entfaltet materielle Rechtskraft (Urteil 5A_421/2013 vom 19. August 2013 E. 1.2.1 mit Hinweis).</w:t>
      </w:r>
    </w:p>
    <w:p>
      <w:r>
        <w:rPr>
          <w:b/>
        </w:rPr>
        <w:t>E. 2.2</w:t>
      </w:r>
    </w:p>
    <w:p>
      <w:r>
        <w:t>Das Obergericht erwog, die Beschwerdeführerin habe die Tatsachenbehauptungen und Beweismittel des Ehegatten, der vom erstinstanzlichen Richter aufgefordert worden war, den Wert sämtlicher Konten per 31. Oktober 2006 anzugeben, im Verlauf des erstinstanzlichen Verfahrens nicht bestritten. Es sei daher davon auszugehen, dass der Ehemann seiner Auskunftspflicht nachgekommen sei. Im Übrigen sei das erst im Berufungsverfahren subsidiär gestellte Editionsbegehren gegenüber Dritten eine Klageänderung und als solche verspätet ( Art. 317 Abs. 2 ZPO ).</w:t>
      </w:r>
    </w:p>
    <w:p>
      <w:r>
        <w:rPr>
          <w:b/>
        </w:rPr>
        <w:t>E. 2.3</w:t>
      </w:r>
    </w:p>
    <w:p>
      <w:r>
        <w:t>Die Beschwerdeführerin begnügt sich damit, darauf hinzuweisen, dass der Beschwerdegegner nicht, jedenfalls nicht vollständig Auskunft erteilt habe. Mit den in E. 2.2 oben zusammengefassten Erwägungen des Obergerichts setzt sich die Beschwerdeführerin nicht auseinander. Darauf ist nicht einzutreten ( Art. 42 Abs. 2 BGG ). Die in diesem Zusammenhang erhobenen Rügen der Verletzung des rechtlichen Gehörs und der "violation de l'interdiction du secret bancaire entre époux" haben keine eigenständige Bedeutung, so dass nicht darauf einzugehen ist.</w:t>
      </w:r>
    </w:p>
    <w:p>
      <w:r>
        <w:rPr>
          <w:b/>
        </w:rPr>
        <w:t>E. 3</w:t>
      </w:r>
    </w:p>
    <w:p>
      <w:r>
        <w:t>Soweit sich die Beschwerdeführerin nicht auf unzulässige Noven bezieht, legt sie einen von den vorinstanzlichen abweichenden Sachverhalt dar. Gemäss Art. 97 BGG kann die Feststellung des Sachverhalts und damit die Beweiswürdigung indessen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Dafür kommt das strenge Rügeprinzip zum Tragen ( Art. 106 Abs. 2 BGG ; BGE 140 III 264 E. 2.3). Das Bundesgericht prüft in diesem Fall nur klar und detailliert erhobene und, soweit möglich, belegte Rügen; auf rein appellatorische Kritik am angefochtenen Entscheid tritt es nicht ein ( BGE 134 II 244 E. 2.2; 137 II 353 E. 5.1). Die Ausführungen der Beschwerdeführerin erfüllen diese Anforderungen nicht. Auf die Sachverhaltsrügen ist demnach infolge ungenügender Begründung nicht einzutreten.</w:t>
      </w:r>
    </w:p>
    <w:p>
      <w:r>
        <w:t>Bei diesem Ausgang bleibt es beim Sachverhalt, wie ihn das Obergericht festgestellt hat. Inwiefern die daraus gezogenen Rechtsfolgen bundesrechtswidrig sein sollen, legt die Beschwerdeführerin nicht dar. Sie rügt zwar die Verletzung des Gleichbehandlungsgrundsatzes ( Art. 8 BV ) und die Verletzung der Eigentumsgarantie ( Art. 26 BV ), doch führt sie nicht aus, worin die Verletzungen bestehen sollen. Soweit es der Beschwerdeführerin um Zuweisung der Liegenschaft in U.________ zu Alleineigentum geht, kann sie sich generell nicht auf die genannten Bestimmungen stützen, weil diese unter Privaten keine Horizontalwirkung haben (zu Art. 8 BV : Urteil 5D_172/2016 vom 4. April 2017 E. 5 Abs. 2; zu Art. 26 BV : Urteile 5A_599/2013 vom 14. April 2014 E. 3 Abs. 1, 5A_821/2014 vom 12. Februar 2015 E. 2.3.2 und 5D_172/2016 vom 4. April 2017 E. 5.2 [zur Publikation vorgesehen]). Damit erweist sich die Beschwerde hinsichtlich der beiden verbleibenden Rechtsbegehren (vgl. E. 1.7) als unbegründet, soweit darauf eingetreten werden kann.</w:t>
      </w:r>
    </w:p>
    <w:p>
      <w:r>
        <w:rPr>
          <w:b/>
        </w:rPr>
        <w:t>E. 4</w:t>
      </w:r>
    </w:p>
    <w:p>
      <w:r>
        <w:t>Zusammenfassend ergibt sich, dass die Beschwerde abzuweisen ist, soweit auf sie eingetreten werden kann. Bei diesem Verfahrensausgang hat die Beschwerdeführerin die Gerichtskosten zu tragen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