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5/2020 vom 27. April 2020</w:t>
      </w:r>
    </w:p>
    <w:p>
      <w:r>
        <w:t>Bundesgericht, 2020-04-27, FR</w:t>
      </w:r>
    </w:p>
    <w:p>
      <w:r>
        <w:rPr>
          <w:b/>
        </w:rPr>
        <w:t xml:space="preserve">Quelle: </w:t>
      </w:r>
      <w:r>
        <w:t>https://mcp.opencaselaw.ch/entscheid/bger_5A_5_2020</w:t>
      </w:r>
    </w:p>
    <w:p>
      <w:r>
        <w:t>FR: TF 5A 5/2020 du 27 avril 2020</w:t>
      </w:r>
    </w:p>
    <w:p>
      <w:r>
        <w:t>IT: TF 5A 5/2020 del 27 aprile 2020</w:t>
      </w:r>
    </w:p>
    <w:p>
      <w:pPr>
        <w:pStyle w:val="Heading2"/>
      </w:pPr>
      <w:r>
        <w:t>Regeste</w:t>
      </w:r>
    </w:p>
    <w:p>
      <w:r>
        <w:t>mesures protectrices de l'union conjugale (entretien de l'enfant) | Droit de la famille</w:t>
      </w:r>
    </w:p>
    <w:p>
      <w:pPr>
        <w:pStyle w:val="Heading2"/>
      </w:pPr>
      <w:r>
        <w:t>Erwägungen</w:t>
      </w:r>
    </w:p>
    <w:p>
      <w:r>
        <w:rPr>
          <w:b/>
        </w:rPr>
        <w:t>E. 1.1</w:t>
      </w:r>
    </w:p>
    <w:p>
      <w:r>
        <w:t>Bien que l'écriture porte uniquement la mention " recours " sans autre précision, il résulte de la partie " recevabilité formelle " de l'acte que la recourante entend déposer un recours en matière civile.</w:t>
      </w:r>
    </w:p>
    <w:p>
      <w:r>
        <w:rPr>
          <w:b/>
        </w:rPr>
        <w:t>E. 1.2</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dépasse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1.3</w:t>
      </w:r>
    </w:p>
    <w:p>
      <w:r>
        <w:t>Aucun fait nouveau ni preuve nouvelle ne peut être présenté à moins de résulter de la décision de l'autorité précédente ( art. 99 al. 1 LTF ). Est ainsi d'emblée irrecevable le chef de conclusions tendant à permettre à la recourante de prouver " par toutes voies de droit " les faits énoncés dans son écriture, dès lors que l'intéressée n'explicite pas plus avant les faits et moyens nouveaux exceptionnellement admissibles et les motifs justifiant cette exception (arrêts 5A_751/2019 du 25 février 2020 consid. 1.2; 5A_6/2019 du 3 juillet 2019 consid. 2.3; 5A_584/2018 du 10 octobre 2018 consid. 2.4; 5A_258/2018 du 20 août 2018 consid. 1.2 et les références).</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(art. 9Cst.)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145 IV 154 consid. 1.1; 141 IV 249 consid. 1.3.1 et la référence).</w:t>
      </w:r>
    </w:p>
    <w:p>
      <w:r>
        <w:rPr>
          <w:b/>
        </w:rPr>
        <w:t>E. 3</w:t>
      </w:r>
    </w:p>
    <w:p>
      <w:r>
        <w:t>La recourante reproche à la cour cantonale d'avoir arbitrairement retenu qu'elle vivait en concubinage et considéré qu'elle devait assumer les frais relatifs à l'enfant lorsqu'elle en avait la garde.</w:t>
      </w:r>
    </w:p>
    <w:p>
      <w:r>
        <w:rPr>
          <w:b/>
        </w:rPr>
        <w:t>E. 3.1</w:t>
      </w:r>
    </w:p>
    <w:p>
      <w:r>
        <w:t>La cour cantonale a constaté que, tant en première instance qu'en appel, l'intimé avait allégué que son épouse vivait en concubinage avec son nouveau compagnon. Le Tribunal avait requis la production de " pièces claires relatives au paiement du loyer " de l'épouse, mais celle-ci n'avait déposé que des documents datés de 2017 relatifs au paiement du loyer de l'appartement et de la place de parc par son époux, ainsi qu'un récépissé attestant d'un unique paiement effectué depuis un compte indéterminé en date du 8 janvier 2019. Estimant que l'épouse n'avait pas prouvé s'être acquittée elle-même du loyer du domicile conjugal, la juridiction précédente a retenu que l'intéressée vivait avec son nouveau compagnon, à tout le moins depuis décembre 2018. Compte tenu de l'amélioration de la situation financière de la recourante à compter de cette date, elle a considéré que chaque parent disposait d'un solde suffisant lui permettant de prendre en charge les coûts de l'enfant lorsqu'il en avait la garde, étant relevé que les frais devant être couverts par le père comprenaient la prime d'assurance-maladie et les frais médicaux de l'enfant. Afin d'assurer la répartition équitable de l'activité extra-scolaire de l'enfant assumée par la mère dès septembre 2019, le père serait condamné à prendre à sa charge la moitié des cours de natation de l'enfant dès cette date.</w:t>
      </w:r>
    </w:p>
    <w:p>
      <w:r>
        <w:rPr>
          <w:b/>
        </w:rPr>
        <w:t>E. 3.2</w:t>
      </w:r>
    </w:p>
    <w:p>
      <w:r>
        <w:t>La recourante soutient que l'intimé n'a apporté la preuve du concubinage ni en première instance ni en appel, alors qu'elle a, pour sa part, pu démontrer que le paiement du loyer provenait effectivement de son compte postal, ce que l'intimé n'a pas contesté. La juridiction précédente serait ainsi, " par [un] raisonnement incompréhensible ", partie du principe que son solde disponible était de 1'314 fr. en décembre 2018 et de 1'198 fr. dès janvier 2019, ce qui serait totalement erroné, sa situation - déficitaire - étant identique depuis le mois d'avril 2018. La décision attaquée porterait atteinte à son minimum vital et défavoriserait l'enfant, qui ne pourrait pas avoir le même train de vie lorsqu'elle se trouve chez sa mère que lorsqu'elle est chez son père.</w:t>
      </w:r>
    </w:p>
    <w:p>
      <w:r>
        <w:rPr>
          <w:b/>
        </w:rPr>
        <w:t>E. 3.3</w:t>
      </w:r>
    </w:p>
    <w:p>
      <w:r>
        <w:t>En l'occurrence, seules les charges effectives, dont l'intéressée s'acquitte réellement, peuvent être prises en compte pour le calcul de la contribution d'entretien ( ATF 121 III 20 consid. 3a et les références; arrêts 5A_361/2019 du 21 février 2020 consid. 5.3; 5A_889/2018 du 15 mai 2019 consid. 3.2.1; 5A_1046/2018 du 3 mai 2019 consid. 3.3 et les références). Il appartenait ainsi à la recourante d'apporter la preuve du paiement effectif de son loyer. Or, la cour cantonale a considéré que cet élément n'était en l'espèce pas établi, l'épouse n'ayant produit que des documents de 2017 relatifs au paiement du loyer par son époux, ainsi qu'un récépissé attestant d'un unique paiement depuis un compte indéterminé en date du 8 janvier 2019. La recourante ne critique nullement cette appréciation de manière conforme aux exigences de motivation susmentionnées (cf. supra consid. 2.2), se contentant d'affirmer de manière péremptoire qu'elle aurait établi payer son loyer depuis son compte postal. Le constat de la juridiction précédente quant à l'existence d'un concubinage et selon lequel elle dispose, depuis le mois de décembre 2018, d'un solde mensuel de près de 1'000 fr. (charges de l'enfant déduites) demeure donc intact, de sorte qu'elle ne peut se prévaloir d'une atteinte à son minimum vital. Pour le surplus, en tant qu'elle soutient qu'au vu du disponible de l'intimé qui est supérieur au sien, il se justifierait de mettre à la charge de celui-ci l'entier des frais de l'enfant, la recourante se contente d'exposer la solution qui lui paraît préférable sans démontrer le caractère arbitraire de la décision querellée (cf. supra consid. 2.1), qui tient compte de la différence des disponibles des parties en mettant notamment à la charge du père les primes d'assurance-maladie et les frais médicaux de l'enfant (cf., sur la répartition des coûts en cas de prise en charge égale de l'enfant par les parents, arrêt 5A_727/2018 du 22 août 2019 consid. 4.3.2.3). Partant, autant que recevable, la critique est dénuée de tout fondement.</w:t>
      </w:r>
    </w:p>
    <w:p>
      <w:r>
        <w:rPr>
          <w:b/>
        </w:rPr>
        <w:t>E. 4</w:t>
      </w:r>
    </w:p>
    <w:p>
      <w:r>
        <w:t>En conclusion, le recours est rejeté dans la (faible) mesure de sa recevabilité. Le recours étant d'emblée voué à l'échec, la requête d'assistance judiciaire de la recourante doit être rejetée ( art. 64 al. 1 LTF ). Les frais judiciaires sont donc mis à la charge de celle-ci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