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599/2019 vom 26. August 2019</w:t>
      </w:r>
    </w:p>
    <w:p>
      <w:r>
        <w:t>Bundesgericht, 2019-08-26, FR</w:t>
      </w:r>
    </w:p>
    <w:p>
      <w:r>
        <w:rPr>
          <w:b/>
        </w:rPr>
        <w:t xml:space="preserve">Quelle: </w:t>
      </w:r>
      <w:r>
        <w:t>https://mcp.opencaselaw.ch/entscheid/bger_5A_599_2019</w:t>
      </w:r>
    </w:p>
    <w:p>
      <w:r>
        <w:t>FR: TF 5A 599/2019 du 26 août 2019</w:t>
      </w:r>
    </w:p>
    <w:p>
      <w:r>
        <w:t>IT: TF 5A 599/2019 del 26 agosto 2019</w:t>
      </w:r>
    </w:p>
    <w:p>
      <w:pPr>
        <w:pStyle w:val="Heading2"/>
      </w:pPr>
      <w:r>
        <w:t>Regeste</w:t>
      </w:r>
    </w:p>
    <w:p>
      <w:r>
        <w:t>curatelle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26 juin 2019 (DTAE/3978/2019), le Tribunal de protection de l'adulte et de l'enfant du canton de Genève a désigné un curateur d'office à A.________; ce mandat est limité à la représentation de l'intéressée dans la procédure de curatelle pendante devant l'autorité de protection de l'adulte et de l'enfant. La personne concernée ayant recouru à l'encontre de cette décision, la Cour de justice du canton de Genève lui a imparti le 24 juillet 2019 un délai au 9 août 2019 pour verser une avance de frais de 400 fr. en application des art. 98 et 101 al. 1 CPC (DCJC/875/2019).</w:t>
      </w:r>
    </w:p>
    <w:p>
      <w:r>
        <w:rPr>
          <w:b/>
        </w:rPr>
        <w:t>E. 2</w:t>
      </w:r>
    </w:p>
    <w:p>
      <w:r>
        <w:t>Par écriture du 29 juillet 2019, A.________ forme une " opposition de mesure de placement sous curatelle " au Tribunal fédéral. 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l'art. 72 al. 2 let. b ch. 6 LTF. Il n'y a pas lieu d'examiner les autres conditions de recevabilité, notamment l'existence d'un préjudice irréparable ( art. 93 al. 1 let. a LTF ; ATF 142 III 798 consid. 2.3 et les nombreux arrêts cités), le procédé étant voué à l'échec.</w:t>
      </w:r>
    </w:p>
    <w:p>
      <w:r>
        <w:rPr>
          <w:b/>
        </w:rPr>
        <w:t>E. 4</w:t>
      </w:r>
    </w:p>
    <w:p>
      <w:r>
        <w:t>L'objet de la contestation devant le Tribunal fédéral est déterminé par la décision attaquée ( ATF 142 I 155 consid. 4.4.2). Or, celle-ci porte uniquement sur l'avance de frais que la recourante est invitée à verser pour la procédure (cantonale) de recours. En tant qu'il s'en prend à la " mesure de placement sous curatelle " elle-même, le recours élargit de manière inadmissible l'objet du litige. Ce motif suffit à sceller le sort du recours.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LTF ). Il y a lieu de renoncer à percevoir des frais judiciaires (art. 66 al. 1 in fine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