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598/2018 vom 20. August 2018</w:t>
      </w:r>
    </w:p>
    <w:p>
      <w:r>
        <w:t>Bundesgericht, 2018-08-20, FR</w:t>
      </w:r>
    </w:p>
    <w:p>
      <w:r>
        <w:rPr>
          <w:b/>
        </w:rPr>
        <w:t xml:space="preserve">Quelle: </w:t>
      </w:r>
      <w:r>
        <w:t>https://mcp.opencaselaw.ch/entscheid/bger_5A_598_2018</w:t>
      </w:r>
    </w:p>
    <w:p>
      <w:r>
        <w:t>FR: TF 5A 598/2018 du 20 août 2018</w:t>
      </w:r>
    </w:p>
    <w:p>
      <w:r>
        <w:t>IT: TF 5A 598/2018 del 20 agosto 2018</w:t>
      </w:r>
    </w:p>
    <w:p>
      <w:pPr>
        <w:pStyle w:val="Heading2"/>
      </w:pPr>
      <w:r>
        <w:t>Regeste</w:t>
      </w:r>
    </w:p>
    <w:p>
      <w:r>
        <w:t>Désignation d'un curateur de représentation (procédure pénale) | Droit de la famille</w:t>
      </w:r>
    </w:p>
    <w:p>
      <w:pPr>
        <w:pStyle w:val="Heading2"/>
      </w:pPr>
      <w:r>
        <w:t>Erwägungen</w:t>
      </w:r>
    </w:p>
    <w:p>
      <w:r>
        <w:rPr>
          <w:b/>
        </w:rPr>
        <w:t>E. 1</w:t>
      </w:r>
    </w:p>
    <w:p>
      <w:r>
        <w:t>Le présent recours, interjeté en temps utile ( art. 100 al. 1 LTF ), est dirigé contre une décision finale ( art. 90 LTF ), rendue par la dernière autorité cantonale ( art. 75 al. 1 LTF ). L'instauration d'une curatelle de représentation de l'enfant fondée sur l' art. 306 al. 2 CC est une décision de nature non pécuniaire en matière de protection de l'enfant, sujette au recours en matière civile (art. 72 al. 2 let. b ch. 6 LTF; arrêt 5A_939/2013 du 5 mars 2014 consid. 1.1; cf. s'agissant de l'art. 314a bis al. 1 CC : arrêt 5A_278/2016 du 6 juin 2016 consid. 1; cf. pour les art. 306 al. 2 et 392 ch. 2 aCC : arrêts 5A_593/2011 du 10 février 2012 consid. 1; 5A_150/20011 du 29 juin 2011 consid. 1 et la référence). Le recours est interjeté par la mère des enfants mineurs contre la nécessité d'une curatelle de représentation et le choix de la personne même du curateur, sans que l'on puisse discerner clairement si celle- là agit en son nom propre ou au nom de ses enfants. La question de sa qualité pour recourir ( art. 76 LTF ) dans l'une et l'autre hypothèse peut toutefois rester indécise, le recours étant irrecevable pour les motifs qui suivent.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Il doit exister un lien entre la motivation du recours et la décision attaquée; le recourant doit se déterminer par rapport aux considérants de l'arrêt entrepris ( ATF 143 II 283 consid. 1.2.2; 140 III 86 consid. 2). En outre, par exception à la règle selon laquelle il examine le droit d'office ( art. 106 al. 1 LTF ), le Tribunal fédéral ne se prononce sur la violation de droits fondamentaux que si le grief correspondant a été invoqué et motivé par le recourant (" principe d'allégation ", art. 106 al. 2 LTF ), c'est-à-dire expressément soulevé et exposé de manière claire et détaillée ( ATF 142 II 369 consid. 2.1; 142 III 364 consid. 2.4). Les critiques de nature appellatoire sont irrecevables ( ATF 142 III 364 consid. 2.4 et les références).</w:t>
      </w:r>
    </w:p>
    <w:p>
      <w:r>
        <w:rPr>
          <w:b/>
        </w:rPr>
        <w:t>E. 2.2</w:t>
      </w:r>
    </w:p>
    <w:p>
      <w:r>
        <w:t>En l'espèce, la recourante se contente de reprendre in extenso son recours cantonal, sous réserve de la désignation de l'autorité attaquée, de quelques phrases péremptoires et sans portée et des conclusions. Ce faisant, elle ne se détermine pas par rapport aux considérants de l'arrêt entrepris ni n'explique en quoi ceux-là seraient, à son avis, contraires au droit, ainsi que l'exige l' art. 42 al. 2 LTF .</w:t>
      </w:r>
    </w:p>
    <w:p>
      <w:r>
        <w:rPr>
          <w:b/>
        </w:rPr>
        <w:t>E. 3</w:t>
      </w:r>
    </w:p>
    <w:p>
      <w:r>
        <w:t>Cela étant, le recours est irrecevable. Comme il était par ailleurs manifestement dénué de toute chance de succès, la demande d'assistance judiciaire doit être rejetée. La recourante, qui succombe, supportera les frais de la procédure ( art. 66 al. 1 LTF ). Il n'y a pas lieu d'allouer de dépens, des réponses n'ayant pas été requises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