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5A_597/2025 vom 28. Juli 2025</w:t>
      </w:r>
    </w:p>
    <w:p>
      <w:r>
        <w:t>Bundesgericht, 2025-07-28, DE</w:t>
      </w:r>
    </w:p>
    <w:p>
      <w:r>
        <w:rPr>
          <w:b/>
        </w:rPr>
        <w:t xml:space="preserve">Quelle: </w:t>
      </w:r>
      <w:r>
        <w:t>https://mcp.opencaselaw.ch/entscheid/bger_5A_597_2025</w:t>
      </w:r>
    </w:p>
    <w:p>
      <w:r>
        <w:t>FR: TF 5A_597/2025 du 28 juillet 2025</w:t>
      </w:r>
    </w:p>
    <w:p>
      <w:r>
        <w:t>IT: TF 5A_597/2025 del 28 luglio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Appellationsgericht ist mangels einer Darlegung, inwiefern der Beschwerdeführer seine Beschwerde rechtzeitig bei der unteren Aufsichtsbehörde eingereicht hätte und dieses deshalb zu Unrecht nicht auf diese eingetreten wäre, auf die Beschwerde nicht eingetreten. Inwiefern darin eine Rechtsverletzung begründet sein soll, legt der Beschwerdeführer nicht dar, weshalb seine Beschwerde unbegründet bleibt. Dies ergibt sich jedenfalls nicht aus den - ohnehin neuen und damit unzulässigen ( Art. 99 Abs. 1 BGG ) - Behauptungen des Beschwerdeführers, er leide an paranoider Schizophrenie, sei mehrfacher Familienvater und habe diverse gesundheitliche Probleme: All dies vermöchte die gesetzliche Beschwerdefrist nicht zu verlängern. Wenn schon hätte er vor der unteren Aufsichtsbehörde ein Gesuch um Fristwiederherstellung einreichen müssen.</w:t>
      </w:r>
    </w:p>
    <w:p>
      <w:r>
        <w:rPr>
          <w:b/>
        </w:rPr>
        <w:t>E. 4</w:t>
      </w:r>
    </w:p>
    <w:p>
      <w:r>
        <w:t>Ohnehin wäre aber auch seine Behauptung in der Sache selbst, die IV-Rente sei unpfändbar und dürfe deshalb nicht in die Berechnung einbezogen werden, unzutreffend. Soweit es sich um eine IV-Rente aus der 1. Säule handelt, ist diese für sich genommen zwar unpfändbar ( Art. 92 Abs. 1 Ziff. 9a SchKG ), aber sie ist zur Bestimmung des Gesamteinkommens und der pfändbaren Quote miteinzubeziehen ( BGE 104 III 38 E. 1; 134 III 182 E. 5).</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