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5A_596/2025 vom 24. September 2025</w:t>
      </w:r>
    </w:p>
    <w:p>
      <w:r>
        <w:t>Bundesgericht, 2025-09-24, FR</w:t>
      </w:r>
    </w:p>
    <w:p>
      <w:r>
        <w:rPr>
          <w:b/>
        </w:rPr>
        <w:t xml:space="preserve">Quelle: </w:t>
      </w:r>
      <w:r>
        <w:t>https://mcp.opencaselaw.ch/entscheid/bger_5A_596_2025</w:t>
      </w:r>
    </w:p>
    <w:p>
      <w:r>
        <w:t>FR: TF 5A_596/2025 du 24 septembre 2025</w:t>
      </w:r>
    </w:p>
    <w:p>
      <w:r>
        <w:t>IT: TF 5A_596/2025 del 24 settembre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jugement du 3 novembre 2014, le Président du Tribunal civil de l'arrondissement de la Broye a prononcé le divorce des conjoints C.A.________ et A.A.________ et ratifié une convention sur les effets du divorce prévoyant notamment une contribution d'entretien en faveur des enfants, dont B.A.________, payable "</w:t>
      </w:r>
    </w:p>
    <w:p>
      <w:r>
        <w:t>jusqu'à la majorité ou la fin de la formation des enfants, l' art. 277 al. 2 CC étant réservé ". Les ex-époux ont signé le 5 novembre 2015 une convention - ratifiée pour valoir jugement de modification du jugement de divorce - modifiant le montant de la contribution d'entretien, la réserve de l' art. 277 al. 2 CC étant maintenue pour le surplus.</w:t>
      </w:r>
    </w:p>
    <w:p>
      <w:r>
        <w:rPr>
          <w:b/>
        </w:rPr>
        <w:t>E. 1.2</w:t>
      </w:r>
    </w:p>
    <w:p>
      <w:r>
        <w:t>Par jugement du 14 janvier 2025, rendu sur requête de B.A.________, ledit magistrat a interprété la convention du 5 novembre 2015 en ce sens que la contribution d'entretien est due "</w:t>
      </w:r>
    </w:p>
    <w:p>
      <w:r>
        <w:t>jusqu'à la majorité, et, au-delà, jusqu'à la fin de la formation des enfants, aux conditions de l' art. 277 al. 2 CC " (I), et condamné le père à verser à la requérante la somme de 1'200 fr. à titre de dépens (III).</w:t>
      </w:r>
    </w:p>
    <w:p>
      <w:r>
        <w:rPr>
          <w:b/>
        </w:rPr>
        <w:t>E. 1.3</w:t>
      </w:r>
    </w:p>
    <w:p>
      <w:r>
        <w:t>Par arrêt du 19 juin 2025, la Cour d'appel civile du Tribunal cantonal vaudois a déclaré irrecevable l'appel formé par le père à l'encontre de cette décision.</w:t>
      </w:r>
    </w:p>
    <w:p>
      <w:r>
        <w:rPr>
          <w:b/>
        </w:rPr>
        <w:t>E. 2</w:t>
      </w:r>
    </w:p>
    <w:p>
      <w:r>
        <w:t>Par acte mis à la poste le 23 juillet 2025, le père exerce un recours au Tribunal fédéral contre l'arrêt cantonal.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 est traitée en tant que recours en matière civile au sens de l' art. 72 al. 1 LTF . Il apparaît superflu d'examiner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la cour cantonale a considéré que l'appel était dénué de motivation conforme aux exigences de l' art. 311 al. 1 CPC , aussi bien le grief "</w:t>
      </w:r>
    </w:p>
    <w:p>
      <w:r>
        <w:t>concernant le paiement de la pension alimentaire " - qui ne comportait, au demeurant, aucune conclusion - que celui relatif à la condamnation aux dépens (</w:t>
      </w:r>
    </w:p>
    <w:p>
      <w:r>
        <w:t>i.e. 1'200 fr.); sur ce dernier point, l'appel eût été, par ailleurs, rejeté tant sur le principe ( art. 106 al. 1 CPC , en relation avec l' art. 95 al. 1 CPC ) que sur la quotité des dépens (art. 15 et 19 Tarif des dépens en matière civile du 23 novembre 2010).</w:t>
      </w:r>
    </w:p>
    <w:p>
      <w:r>
        <w:rPr>
          <w:b/>
        </w:rPr>
        <w:t>E. 4.2</w:t>
      </w:r>
    </w:p>
    <w:p>
      <w:r>
        <w:t>Selon la jurisprudence, la motivation du recours doit être topique, à savoir se rapporter à la question juridique tranchée par la juridiction précédente ( ATF 144 II 184 consid. 1.1). Or, le recourant ne soulève pas la moindre critique à l'encontre du motif d'irrecevabilité pris de la motivation déficiente de son appel; en particulier, il ne prétend pas que l'autorité précédente aurait violé l' art. 311 al. 1 CPC ( art. 42 al. 2 LTF ; ATF 140 III 86 consid. 2 et les citations) ou appliqué cette disposition de façon excessivement formaliste ( art. 106 al. 2 LTF ; ATF 150 II 346 consid. 1.5.3 et les citations). Il s'ensuit que le recours est entièrement irrecevable ( ATF 142 III 364 consid. 2.4 et les citations). Cela étant, il n'y a pas lieu d'examiner le motif tiré (par surabondance) du bien-fondé de l'astreinte aux dépens ( ATF 135 III 608 consid. 4.6).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let. b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