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5A_596/2021 vom 30. August 2021</w:t>
      </w:r>
    </w:p>
    <w:p>
      <w:r>
        <w:t>Bundesgericht, 2021-08-30, DE</w:t>
      </w:r>
    </w:p>
    <w:p>
      <w:r>
        <w:rPr>
          <w:b/>
        </w:rPr>
        <w:t xml:space="preserve">Quelle: </w:t>
      </w:r>
      <w:r>
        <w:t>https://mcp.opencaselaw.ch/entscheid/bger_5A_596_2021</w:t>
      </w:r>
    </w:p>
    <w:p>
      <w:r>
        <w:t>FR: TF 5A_596/2021 du 30 août 2021</w:t>
      </w:r>
    </w:p>
    <w:p>
      <w:r>
        <w:t>IT: TF 5A_596/2021 del 30 agosto 2021</w:t>
      </w:r>
    </w:p>
    <w:p>
      <w:pPr>
        <w:pStyle w:val="Heading2"/>
      </w:pPr>
      <w:r>
        <w:t>Erwägungen</w:t>
      </w:r>
    </w:p>
    <w:p>
      <w:r>
        <w:rPr>
          <w:b/>
        </w:rPr>
        <w:t>E. 1</w:t>
      </w:r>
    </w:p>
    <w:p>
      <w:r>
        <w:t>Die Beschwerde hat ein Rechtsbegehren zu enthalten ( Art. 42 Abs. 1 BGG ), welches bei Unterhaltssachen beziffert sein muss ( BGE 79 II 253 E. 1 S. 255; 134 III 235 E. 2 S. 237; 143 III 111 E. 1.2 S. 112), dies übrigens bereits im kantonalen Verfahren und auch beim Kindesunterhalt, für welchen im kantonalen Verfahren die Offizialmaxime und der Untersuchungsgrundsatz zum Tragen kommen ( BGE 137 III 617 E. 4.3, 4.5 und E. 5 S. 619 ff.).</w:t>
      </w:r>
    </w:p>
    <w:p>
      <w:r>
        <w:t>Sodann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Das Obergericht hat seinen Entscheid auf 48 Seiten ausführlich begründet. Der Beschwerdeführer setzt sich mit den Erwägungen nicht ansatzweise auseinander, wenn er sich auf den Vorwurf beschränkt, das Obergericht habe keine neugierige und umfassende Untersuchung des komplexen Falles vorgenommen und die Folgen des Entscheides könnten für die Psyche, Loyalität und Wertebildung des Kindes verheerende Folgen haben.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