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596/2020 vom 23. September 2020</w:t>
      </w:r>
    </w:p>
    <w:p>
      <w:r>
        <w:t>Bundesgericht, 2020-09-23, FR</w:t>
      </w:r>
    </w:p>
    <w:p>
      <w:r>
        <w:rPr>
          <w:b/>
        </w:rPr>
        <w:t xml:space="preserve">Quelle: </w:t>
      </w:r>
      <w:r>
        <w:t>https://mcp.opencaselaw.ch/entscheid/bger_5A_596_2020</w:t>
      </w:r>
    </w:p>
    <w:p>
      <w:r>
        <w:t>FR: TF 5A 596/2020 du 23 septembre 2020</w:t>
      </w:r>
    </w:p>
    <w:p>
      <w:r>
        <w:t>IT: TF 5A 596/2020 del 23 settembre 2020</w:t>
      </w:r>
    </w:p>
    <w:p>
      <w:pPr>
        <w:pStyle w:val="Heading2"/>
      </w:pPr>
      <w:r>
        <w:t>Regeste</w:t>
      </w:r>
    </w:p>
    <w:p>
      <w:r>
        <w:t>modification de jugement de divorce (droit de déterminer le lieu de résidence de l'enfant, déménagement à l'étranger)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non pécuniaire. Le recourant, qui a succombé devant la juridiction précédente, a en outre qualité pour recourir ( art. 76 al. 1 let. a et b LTF ). Le recours est donc en principe recevable.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Il ne peut se contenter de reprendre presque mot pour mot l'argumentation formée devant l'autorité cantonale ( ATF 145 V 161 consid. 5.2; 140 III 86 consid. 2; 134 II 244 consid. 2.1 et 2.3). Le Tribunal fédéral ne connaît en outre de la violation de droits fondamentaux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 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3</w:t>
      </w:r>
    </w:p>
    <w:p>
      <w:r>
        <w:t>Le recourant fait grief à l'autorité cantonale d'avoir violé l' art. 301a CC .</w:t>
      </w:r>
    </w:p>
    <w:p>
      <w:r>
        <w:rPr>
          <w:b/>
        </w:rPr>
        <w:t>E. 3.1</w:t>
      </w:r>
    </w:p>
    <w:p>
      <w:r>
        <w:t>Aux termes de l' art. 301a CC ,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a. le nouveau lieu de résidence se trouve à l'étranger; b. le déménagement a des conséquences importantes pour l'exercice de l'autorité parentale par l'autre parent et pour les relations personnelles (al. 2). S'agissant de l'autorisation de déplacer le lieu de résidence de l'enfant au sens de l' art. 301 a al. 2 let. a CC , le modèle de prise en charge préexistant constitue, sous réserve d'une modification de la situation, le point de départ de l'analyse. Si le parent qui souhaite déménager était titulaire de la garde exclusive sur l'enfant ou était le parent de référence, à savoir celui qui prenait jusqu'ici l'enfant en charge de manière prépondérante (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 ATF 142 III 481 consid. 2.7 et les références;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 ATF 144 III 469 consid. 4.1; 142 III 612 consid. 4.3; 142 III 481 consid. 2.7; arrêts 5A_539/2020 du 17 août 2020 consid. 4.1.3; 5A_916/2019 du 12 mars 2020 consid. 3.2).</w:t>
      </w:r>
    </w:p>
    <w:p>
      <w:r>
        <w:rPr>
          <w:b/>
        </w:rPr>
        <w:t>E. 3.2</w:t>
      </w:r>
    </w:p>
    <w:p>
      <w:r>
        <w:t>Dans l'arrêt déféré, l'autorité cantonale a retenu qu'à tous points de vue, le transfert de la garde auprès du père en Valais et le maintien de la garde à la mère avec un déménagement aux Etats-Unis garantissaient dans la même mesure le bon développement de l'enfant. Conformément à la jurisprudence qui commandait, dans ce genre de situations, de privilégier la stabilité de la garde, c'était à bon droit que les premiers juges avaient autorisé l'intimée à déplacer le lieu de résidence de l'enfant aux Etats-Unis. La juridiction précédente a également relevé que, même si cela n'était pas décisif en l'espèce, le déplacement était conforme aux souhaits exprimés par l'enfant.</w:t>
      </w:r>
    </w:p>
    <w:p>
      <w:r>
        <w:rPr>
          <w:b/>
        </w:rPr>
        <w:t>E. 3.3</w:t>
      </w:r>
    </w:p>
    <w:p>
      <w:r>
        <w:t>De manière générale, le recourant reproche aux juges cantonaux d'avoir considéré que le développement de l'enfant serait tout aussi bon aux Etats-Unis qu'en Suisse. Il fait valoir qu'au contraire, l'enfant bénéficierait d'une plus grande sécurité et d'une meilleure stabilité en restant auprès de lui, ce qui justifierait d'interdire son déménagement à l'étranger. Le recourant appuie son argumentation sur des faits concernant " l'instabilité de la situation financière de l'intimée ", " sa dépendance financière à son compagnon " et " la situation sanitaire catastrophique liée à la crise du coronavirus aux Etats-Unis ". A cet égard, il se plaint d'une constatation arbitraire des faits sur la base de l' art. 98 LTF - dont on présume qu'il s'agit en réalité de l' art. 97 LTF .</w:t>
      </w:r>
    </w:p>
    <w:p>
      <w:r>
        <w:rPr>
          <w:b/>
        </w:rPr>
        <w:t>E. 3.4</w:t>
      </w:r>
    </w:p>
    <w:p>
      <w:r>
        <w:t>S'agissant tout d'abord de la crise sanitaire invoquée, le recourant reproche à l'autorité cantonale d'avoir éludé la situation actuelle liée au coronavirus (COVID-19). Il fait valoir que, selon une proclamation présidentielle du 1er janvier 2020, l'entrée sur sol américain serait suspendue pour les ressortissants étrangers n'ayant pas le statut de résident permanent et ayant précédemment été présents sur le sol suisse. Selon le recourant, la crise sanitaire mettrait la santé de l'enfant en péril, l'empêcherait de débuter sa scolarité aux Etats-Unis et engendrerait un risque de décrochage scolaire. En l'espèce, il ressort de l'arrêt entrepris que l'autorité cantonale n'a pas évoqué la crise sanitaire et ses éventuelles conséquences sur le territoire états-unien, qui relèvent du fait. Or, dans son mémoire, le recourant se contente d'exposer sa propre version des faits à cet égard, sans expliquer, sur la base des réquisits de l' art. 97 al. 1 LTF , en quoi la cour cantonale aurait procédé à une appréciation arbitraire des preuves (cf. supra consid. 2.2). Il s'ensuit qu'en tant que l'argumentation du recourant repose sur les faits litigieux, elle est irrecevable, faute de motivation appropriée.</w:t>
      </w:r>
    </w:p>
    <w:p>
      <w:r>
        <w:rPr>
          <w:b/>
        </w:rPr>
        <w:t>E. 3.5</w:t>
      </w:r>
    </w:p>
    <w:p>
      <w:r>
        <w:t>Le recourant soutient que l'intimée aurait admis qu'elle pourrait conserver sa galerie d'art ouverte malgré son départ aux Etats-Unis et qu'elle devrait revenir régulièrement en Suisse pour la gérer. Il en déduit que, si l'enfant était autorisé à vivre auprès de lui, la mère pourrait lui rendre visite plus fréquemment que lui-même ne le pourrait en cas de déménagement de l'enfant aux Etats-Unis. Dans l'arrêt querellé, les juges cantonaux ont retenu que l'intimée exploitait une galerie d'art en Suisse et qu'elle n'avait pas encore décidé si elle allait la fermer après son départ. Le maintien de l'ouverture de la galerie d'art de l'intimée, tel invoqué par le recourant, contredit dès lors l'état de fait cantonal. Or, à nouveau, le recourant ne fournit sur ce point aucune motivation répondant aux exigences de l' art. 97 al. 1 LTF (cf. supra consid. 2.2). Partant, l'argument du recourant est irrecevable.</w:t>
      </w:r>
    </w:p>
    <w:p>
      <w:r>
        <w:rPr>
          <w:b/>
        </w:rPr>
        <w:t>E. 3.6</w:t>
      </w:r>
    </w:p>
    <w:p>
      <w:r>
        <w:t>S'agissant de la situation de l'intimée aux Etats-Unis, le recourant fait valoir que celle-ci n'aurait donné aucune garantie quant à sa capacité d'entretenir l'enfant une fois le déménagement à l'étranger intervenu et soutient que, sur le plan financier, elle dépendrait entièrement de son compagnon. Le recourant entend principalement en tirer pour conséquence qu'en cas de rupture, l'enfant et la mère se retrouveraient dans une situation précaire pouvant mettre en péril la stabilité de l'enfant. Selon lui, un nouveau déménagement du couple pour des raisons professionnelles ne saurait en outre être exclu, ce qui aurait pour conséquence de déplacer une seconde fois le lieu de résidence de l'enfant. L'autorité cantonale a relevé que l'intimée et son compagnon E.________ avaient d'ores et déjà sollicité un visa qui les autoriserait à résider de manière permanente aux Etats-Unis avec l'enfant, sous réserve que le couple se marie dans les 90 jours dès son entrée dans ce pays. Dans ce cadre, le compagnon devait également attester qu'il soutenait financièrement l'intimée et son fils. Les juges cantonaux ont en outre retenu que le couple faisait construire une maison aux Etats-Unis, dans la ville où travaillerait E.________. Ils ont par ailleurs relevé que, lors de son interrogatoire, l'intimée avait précisé qu'elle continuerait quoi qu'il en soit à subvenir aux besoins de l'enfant comme elle l'avait toujours fait, également avec l'aide de son compagnon. Finalement, la cour cantonale a retenu qu'après un temps d'adaptation pour elle-même et pour l'enfant, l'intimée prévoyait de prendre un emploi et qu'elle avait déjà pris des contacts dans ce but. En l'espèce, le grief du recourant est infondé. L'examen réalisé par la juridiction précédente suffit en effet pour admettre qu'en l'état, la subsistance de l'enfant aux Etats-Unis apparaît garantie, même si, à titre transitoire, elle pourrait s'effectuer par l'intermédiaire du compagnon de l'intimée. Sur ce point, il apparaît qu'en tant que le recourant invoque une future séparation de l'intimée d'avec son compagnon ou encore un second déplacement de l'enfant, il soulève de pures conjectures, dont les perspectives de réalisation ne trouvent aucun fondement dans l'état de fait cantonal. Du reste, une séparation du couple apparaît à ce stade peu probable, dès lors qu'il ressort de l'arrêt querellé - sans que cela soit contesté par le recourant - que l'intimée fait ménage commun avec son compagnon depuis plus de sept ans et que le couple envisage un prochain mariage qui, compte tenu des exigences en matière de visa, devra se concrétiser dans les 90 jours après le déménagement aux Etats-Unis. Il sied par ailleurs de rappeler que le recourant demeure tenu de verser chaque mois une contribution d'entretien de 690 fr., qui reste en tout état de cause acquise à la subsistance de l'enfant. Il s'ensuit que, sous l'angle des principes jurisprudentiels exposés précédemment (cf. supra consid. 3.1), le recourant ne parvient pas à démontrer l'existence de motifs permettant de retenir que le déplacement du lieu de résidence de l'enfant empêcherait une prise en charge similaire dans son futur lieu de vie ou qu'il entraînerait une mise en danger de son bon développement.</w:t>
      </w:r>
    </w:p>
    <w:p>
      <w:r>
        <w:rPr>
          <w:b/>
        </w:rPr>
        <w:t>E. 4</w:t>
      </w:r>
    </w:p>
    <w:p>
      <w:r>
        <w:t>En définitive, le recours doit être rejeté dans la mesure de sa recevabilité. Les frais judiciaires concernant les requêtes d'effet suspensif et le recours, arrêtés à 2'500 fr., sont mis à la charge du recourant, qui succombe ( art. 66 al. 1 LTF ). Une indemnité de 300 fr., à payer à l'intimée à titre de dépens pour ses déterminations sur l'effet suspensif, est mise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