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5A_596/2009 vom 10. Dezember 2009</w:t>
      </w:r>
    </w:p>
    <w:p>
      <w:r>
        <w:t>Bundesgericht, 2009-12-10, FR</w:t>
      </w:r>
    </w:p>
    <w:p>
      <w:r>
        <w:rPr>
          <w:b/>
        </w:rPr>
        <w:t xml:space="preserve">Quelle: </w:t>
      </w:r>
      <w:r>
        <w:t>https://mcp.opencaselaw.ch/entscheid/bger_5A_596_2009</w:t>
      </w:r>
    </w:p>
    <w:p>
      <w:r>
        <w:t>FR: TF 5A_596/2009 du 10 décembre 2009</w:t>
      </w:r>
    </w:p>
    <w:p>
      <w:r>
        <w:t>IT: TF 5A_596/2009 del 10 dicembre 2009</w:t>
      </w:r>
    </w:p>
    <w:p>
      <w:pPr>
        <w:pStyle w:val="Heading2"/>
      </w:pPr>
      <w:r>
        <w:t>Erwägungen</w:t>
      </w:r>
    </w:p>
    <w:p>
      <w:r>
        <w:rPr>
          <w:b/>
        </w:rPr>
        <w:t>E. 1</w:t>
      </w:r>
    </w:p>
    <w:p>
      <w:r>
        <w:t>Interjeté dans le délai ( art. 100 al. 2 let. a LTF ) et la forme ( art. 42 LTF ) prévus par la loi par une partie qui a succombé dans ses conclusions prises devant l'autorité précédente ( art. 76 al. 1 LTF ) et dirigé contre une décision finale ( art. 90 LTF ) rendue en matière de poursuite pour dettes et de faillite ( art. 72 al. 2 let. a LTF ) par une autorité cantonale de surveillance de dernière instance ( art. 75 al. 1 LTF ), le recours est recevable en principe, et ce indépendamment de la valeur litigieuse ( art. 74 al. 2 let . c LTF).</w:t>
      </w:r>
    </w:p>
    <w:p>
      <w:r>
        <w:rPr>
          <w:b/>
        </w:rPr>
        <w:t>E. 2.1</w:t>
      </w:r>
    </w:p>
    <w:p>
      <w:r>
        <w:t>Le recours en matière civile peut être formé pour violation du droit, tel qu'il est délimité par les art. 95 et 96 LTF . Le Tribunal fédéral applique le droit d'office ( art. 106 al. 1 LTF ), sans être lié ni par les motifs de l'autorité précédente, ni par les moyens des parties. Compte tenu des exigences de motivation posées à l' art. 42 al. 2 LTF , sous peine d'irrecevabilité ( art. 108 al. 1 let. b LTF ), le Tribunal fédéral n'examine en principe que les griefs soulevés; il n'est pas tenu de traiter, à l'instar d'une juridiction de première instance, toutes les questions juridiques pouvant se poser lorsqu'elles ne sont plus discutées devant lui ( ATF 133 IV 150 consid. 1.2). Il ne connaît de la violation de droits fondamentaux ou du droit cantonal que si ce grief a été soulevé et motivé par le recourant ( art. 106 al. 2 LTF ), les exigences de motivation correspondant à celles de l'ancien art. 90 al. 1 let. b OJ ( ATF 133 II 249 consid. 1.4.2; 133 III 393 consid. 6).</w:t>
      </w:r>
    </w:p>
    <w:p>
      <w:r>
        <w:rPr>
          <w:b/>
        </w:rPr>
        <w:t>E. 2.2</w:t>
      </w:r>
    </w:p>
    <w:p>
      <w:r>
        <w:t>Le Tribunal fédéral statue sur la base des faits établis par l'autorité précédente ( art. 105 al. 1 LTF ); il ne peut s'en écarter que si ces faits ont été établis de façon manifestement inexacte ou en violation du droit au sens de l' art. 95 LTF ( art. 105 al. 2 LTF ), et si la correction du vice est susceptible d'influer sur le sort de la cause ( art. 97 al. 1 LTF ). Le recourant qui entend s'écarter des constatations de la juridiction cantonale doit exposer de manière circonstanciée en quoi les exceptions prévues par l' art. 105 al. 2 LTF seraient réalisées ( ATF 133 IV 150 consid. 1.3 p. 152). Les faits nouveaux et les preuves nouvelles sont prohibés à moins de résulter de la décision de l'autorité précédente ( art. 99 al. 1 LTF ).</w:t>
      </w:r>
    </w:p>
    <w:p>
      <w:r>
        <w:rPr>
          <w:b/>
        </w:rPr>
        <w:t>E. 3</w:t>
      </w:r>
    </w:p>
    <w:p>
      <w:r>
        <w:t>La recourante soutient que c'est en violation de l' art. 17 LP que sa plainte a été déclarée irrecevable en tant qu'elle portait sur l'identité de l'expert désigné. Elle n'aurait effectivement pris connaissance de cette identité que le jour de l'expertise, le 4 juin 2009, de sorte que sa plainte du 15 juin 2009 aurait été déposée dans le délai de 10 jours prévu par l' art. 17 al. 2 LP .</w:t>
      </w:r>
    </w:p>
    <w:p>
      <w:r>
        <w:t>Se référant à l' art. 105 al. 1 LTF , la recourante déclare ne pas contester les faits tels qu'ils ont été constatés par la commission cantonale de surveillance sous lettres A et B de sa décision. Elle ne conteste donc l'existence ni du courrier de l'office du 28 avril 2009 qui l'informait du nom de l'expert et des démarches en vue de l'expertise, ni de celui du 15 mai 2009 qui lui rappelait la désignation de l'expert et les vaines tentatives de prises de contact de celui-ci, et qui l'avisait de la tenue d'une expertise à sa propriété le 4 juin 2009 à 9 h 00. Elle devait s'attendre à recevoir des courriers de ce genre dès lors que, comme elle l'admettait dans sa plainte, elle avait reçu de l'office l'avis de réception de la réquisition de vente des 7/8 avril 2009. Or, selon la jurisprudence, lesdits courriers, en tant qu'ils avaient été envoyés sous plis recommandés et qu'ils avaient fait l'objet d'une tentative infructueuse de notification par la poste, étaient censés avoir été notifiés le septième jour après cette notification en cas de non-retrait ( ATF 127 I 31 consid. 2a/aa; 117 III 4 consid. 2; 117 V 131 consid. 4a).</w:t>
      </w:r>
    </w:p>
    <w:p>
      <w:r>
        <w:t>Au vu de cette jurisprudence, la commission cantonale de surveillance a eu raison de considérer que la recourante avait été valablement atteinte, lors de l'envoi des courriers des 28 avril et 15 mai 2009, au plus tard le dernier jour du délai de garde et que, partant, la plainte déposée le 15 juin 2009 était manifestement tardive s'agissant de la désignation de l'expert et des mesures prises en vue du déroulement de l'expertise.</w:t>
      </w:r>
    </w:p>
    <w:p>
      <w:r>
        <w:rPr>
          <w:b/>
        </w:rPr>
        <w:t>E. 4</w:t>
      </w:r>
    </w:p>
    <w:p>
      <w:r>
        <w:t>La plainte ayant été déclarée irrecevable à juste titre, il n'y a pas lieu d'examiner les griefs soulevés sur les deux points précités. On relève néanmoins que l'insertion dans la convocation à l'expertise d'un avertissement selon lequel, en cas de défaut de la poursuivie, les locaux seraient ouverts par un serrurier avec l'assistance de la force publique et la mise à exécution de cette mesure étaient conformes aux dispositions de l' art. 91 LP sur les devoirs du débiteur. La recourante tente vainement de le contester sous l'angle de la proportionnalité en se bornant à prétendre n'avoir reçu de l'office que l'avis de réception de la réquisition de vente des 7/8 avril 2009 et n'avoir pas été informée de ce que l'office recourrait, le 4 juin 2009, à la force publique, ce qui à l'évidence ne saurait être retenu (cf. consid. 3 ci-dessus).</w:t>
      </w:r>
    </w:p>
    <w:p>
      <w:r>
        <w:rPr>
          <w:b/>
        </w:rPr>
        <w:t>E. 5</w:t>
      </w:r>
    </w:p>
    <w:p>
      <w:r>
        <w:t>Quant au déroulement de l'estimation, la critique de la recourante se fonde uniquement sur le fait que l'expert aurait passé moins d'une heure sur les lieux et n'aurait donc pas pris le temps nécessaire à l'appréciation des biens immobiliers concernés.</w:t>
      </w:r>
    </w:p>
    <w:p>
      <w:r>
        <w:t>Selon la décision attaquée, l'expert a été convoqué à 9 h 00 et sa visite a duré jusqu'à 11 h 00. Le Tribunal fédéral est lié par cette constatation, car la réalisation des exceptions prévues par l' art. 105 al. 2 LTF n'est pas démontrée en l'espèce (consid. 2.2 ci-dessus). Dès lors qu'elle s'appuie sur un fait divergent, partant sur un fait nouveau inadmissible ( art. 99 al. 1 LTF ), la critique de la recourante est irrecevable.</w:t>
      </w:r>
    </w:p>
    <w:p>
      <w:r>
        <w:t>Au demeurant, il sied de relever que la recourante était mal venue de se plaindre de la qualité du travail de l'expert puisqu'elle n'était pas présente ou représentée lorsque celui-ci a déployé son activité, ayant choisi de quitter les lieux après lui avoir refusé l'accès à sa propriété.</w:t>
      </w:r>
    </w:p>
    <w:p>
      <w:r>
        <w:rPr>
          <w:b/>
        </w:rPr>
        <w:t>E. 6</w:t>
      </w:r>
    </w:p>
    <w:p>
      <w:r>
        <w:t>Il résulte de ce qui précède que le recours doit être rejeté dans la mesure de sa recevabilité, aux frais de son auteur ( art. 66 al. 1 LTF ).</w:t>
      </w:r>
    </w:p>
    <w:p>
      <w:r>
        <w:t>Il n'y a pas lieu d'allouer des dépens à l'intimée, qui n'a pas été invitée à répondre au recours.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