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5A_595/2025 vom 8. September 2025</w:t>
      </w:r>
    </w:p>
    <w:p>
      <w:r>
        <w:t>Bundesgericht, 2025-09-08, DE</w:t>
      </w:r>
    </w:p>
    <w:p>
      <w:r>
        <w:rPr>
          <w:b/>
        </w:rPr>
        <w:t xml:space="preserve">Quelle: </w:t>
      </w:r>
      <w:r>
        <w:t>https://mcp.opencaselaw.ch/entscheid/bger_5A_595_2025</w:t>
      </w:r>
    </w:p>
    <w:p>
      <w:r>
        <w:t>FR: TF 5A_595/2025 du 8 septembre 2025</w:t>
      </w:r>
    </w:p>
    <w:p>
      <w:r>
        <w:t>IT: TF 5A_595/2025 del 8 settembre 2025</w:t>
      </w:r>
    </w:p>
    <w:p>
      <w:pPr>
        <w:pStyle w:val="Heading2"/>
      </w:pPr>
      <w:r>
        <w:t>Erwägungen</w:t>
      </w:r>
    </w:p>
    <w:p>
      <w:r>
        <w:rPr>
          <w:b/>
        </w:rPr>
        <w:t>E. 1</w:t>
      </w:r>
    </w:p>
    <w:p>
      <w:r>
        <w:t>Angefochten ist ein kantonal letztinstanzliches Urteil betreffend Kindesunterhalt mit Fr. 30'000.-- übersteigendem Streitwert im Rahmen einer Vaterschaftsklage; die Beschwerde in Zivilsachen ist zulässig ( Art. 72 Abs. 1, Art. 75 Abs. 1 und Art. 90 BGG ). Soweit sich der Beschwerdeführer über das Besuchsrecht beklagt, ist allerdings auf die Beschwerde von vornherein nicht einzutreten, weil der (im kantonalen Rechtsmittel anwaltlich vertretene) Beschwerdeführer einzig die Frage des Kindesunterhalts zum Berufungsgegenstand gemacht hat und im bundesgerichtlichen Verfahren der Anfechtungsgegenstand nicht über das hinausgehen kann, was vorinstanzlich beurteilt wurde.</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 Eine Begründung im genannten Sinn enthält die Beschwerde nicht. Der Beschwerdeführer schildert den Sachverhalt bzw. seine Arbeitsmöglichkeiten in rein appellatorischer und damit ungenügender Weise aus eigener Sicht, während er sich zum Rechtlichen nicht äussert. Im Übrigen mangelt es auch an einem bezifferten Rechtsbegehren ( Art. 42 Abs. 1 BGG ), wie es bei Unterhaltssachen erforderlich ist ( BGE 134 III 235 E. 2; 137 III 617 E. 4.5 und 5; 143 III 111 E. 1.2), denn der Beschwerdeführer ist offenbar bereit einen gewissen Unterhaltsanteil zu zahlen, benennt diesen aber nicht ("Ich bitte sie den Betrag so zu setzten, dass ich aufkommen kann").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