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5A_595/2019 vom 8. August 2019</w:t>
      </w:r>
    </w:p>
    <w:p>
      <w:r>
        <w:t>Bundesgericht, 2019-08-08, DE</w:t>
      </w:r>
    </w:p>
    <w:p>
      <w:r>
        <w:rPr>
          <w:b/>
        </w:rPr>
        <w:t xml:space="preserve">Quelle: </w:t>
      </w:r>
      <w:r>
        <w:t>https://mcp.opencaselaw.ch/entscheid/bger_5A_595_2019</w:t>
      </w:r>
    </w:p>
    <w:p>
      <w:r>
        <w:t>FR: TF 5A_595/2019 du 8 août 2019</w:t>
      </w:r>
    </w:p>
    <w:p>
      <w:r>
        <w:t>IT: TF 5A_595/2019 del 8 agosto 2019</w:t>
      </w:r>
    </w:p>
    <w:p>
      <w:pPr>
        <w:pStyle w:val="Heading2"/>
      </w:pPr>
      <w:r>
        <w:t>Erwägungen</w:t>
      </w:r>
    </w:p>
    <w:p>
      <w:r>
        <w:rPr>
          <w:b/>
        </w:rPr>
        <w:t>E. 1</w:t>
      </w:r>
    </w:p>
    <w:p>
      <w:r>
        <w:t>Am 19. März 2019 erliess das Betreibungsamt Rapperswil-Jona gegenüber dem Beschwerdeführer eine Pfändungsurkunde als Verlustschein. Dagegen erhob der Beschwerdeführer am 31. März 2019 Beschwerde beim Kreisgericht See-Gaster. Mit Entscheid vom 15. Mai 2019 trat das Kreisgericht auf die Beschwerde nicht ein.</w:t>
      </w:r>
    </w:p>
    <w:p>
      <w:r>
        <w:t>Dagegen erhob der Beschwerdeführer am 29. Mai 2019 Beschwerde beim Kantonsgericht St. Gallen. Mit Zirkulationsentscheid vom 8. Juli 2019 trat das Kantonsgericht auf die Beschwerde nicht ein, da die zahlreichen neuen Anträge des Beschwerdeführers verspätet seien und er sich nicht mit der Begründung des Entscheids des Kreisgerichts auseinandersetze. Nichtigkeitsgründe seien weder geltend gemacht noch ersichtlich.</w:t>
      </w:r>
    </w:p>
    <w:p>
      <w:r>
        <w:t>Gegen diesen Entscheid hat der Beschwerdeführer am 27. Juli 2019 (Postaufgabe) Beschwerde an das Bundesgericht erhoben. Das Bundesgericht hat die Akten beigezogen.</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müsste vor Bundesgericht darlegen, weshalb das Kantonsgericht auf seine Beschwerde hätte eintreten müssen. Dies tut er jedoch mit keinem Wort. Stattdessen wiederholt er, was er bereits dem Kantonsgericht vorgetragen hat. Sodann macht er geltend, der Rechtsvorschlag sei nicht beseitigt und das Fortsetzungsbegehren zu früh gestellt worden. Diese Behauptung ist neu und deshalb unzulässig ( Art. 99 Abs. 1 BGG ).</w:t>
      </w:r>
    </w:p>
    <w:p>
      <w:r>
        <w:t>Die Beschwerde enthält demnach offensichtlich keine hinreichende Begründung. Auf sie ist im vereinfachten Verfahren gemäss Art. 108 Abs. 1 lit. b BGG durch den Abteilungspräsidenten nicht einzutreten.</w:t>
      </w:r>
    </w:p>
    <w:p>
      <w:r>
        <w:rPr>
          <w:b/>
        </w:rPr>
        <w:t>E. 4</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