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591/2019 vom 30. Juli 2019</w:t>
      </w:r>
    </w:p>
    <w:p>
      <w:r>
        <w:t>Bundesgericht, 2019-07-30, DE</w:t>
      </w:r>
    </w:p>
    <w:p>
      <w:r>
        <w:rPr>
          <w:b/>
        </w:rPr>
        <w:t xml:space="preserve">Quelle: </w:t>
      </w:r>
      <w:r>
        <w:t>https://mcp.opencaselaw.ch/entscheid/bger_5A_591_2019</w:t>
      </w:r>
    </w:p>
    <w:p>
      <w:r>
        <w:t>FR: TF 5A 591/2019 du 30 juillet 2019</w:t>
      </w:r>
    </w:p>
    <w:p>
      <w:r>
        <w:t>IT: TF 5A 591/2019 del 30 luglio 2019</w:t>
      </w:r>
    </w:p>
    <w:p>
      <w:pPr>
        <w:pStyle w:val="Heading2"/>
      </w:pPr>
      <w:r>
        <w:t>Regeste</w:t>
      </w:r>
    </w:p>
    <w:p>
      <w:r>
        <w:t>Abnahme des Inventars (Beistandschaft) | Familienrecht</w:t>
      </w:r>
    </w:p>
    <w:p>
      <w:pPr>
        <w:pStyle w:val="Heading2"/>
      </w:pPr>
      <w:r>
        <w:t>Erwägungen</w:t>
      </w:r>
    </w:p>
    <w:p>
      <w:r>
        <w:rPr>
          <w:b/>
        </w:rPr>
        <w:t>E. 1</w:t>
      </w:r>
    </w:p>
    <w:p>
      <w:r>
        <w:t>Es wird lediglich eine Kopie der (an sich unterzeichneten) Beschwerde eingereicht, obwohl die Originalunterschrift erforderlich wäre ( Art. 42 Abs. 1 BGG ). Ein auf Art. 42 Abs. 5 BGG gestütztes Nachfordern des Originals erübrigt sich aber insoweit, als auf die Beschwerde ohnehin aus zwei anderen Gründen nicht eingetreten werden kann.</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Gegenstand des obergerichtlichen Verfahrens ist die Frage, ob auf die kantonale Beschwerde gegen die Abnahme des Inventars eingetreten werden kann. Dazu äussert sich die Beschwerdeführerin nicht, weshalb ihre beim Bundesgericht eingereichte Beschwerde unbegründet bleibt (vgl. BGE 135 II 38 E. 1.2 S. 41).</w:t>
      </w:r>
    </w:p>
    <w:p>
      <w:r>
        <w:rPr>
          <w:b/>
        </w:rPr>
        <w:t>E. 3</w:t>
      </w:r>
    </w:p>
    <w:p>
      <w:r>
        <w:t>Vielmehr äussert sie sich zu etwas ganz anderem, nämlich zur Errichtung der Beistandschaft mit Einsetzung einer Beiständin. Sie hält dies für unnötig, weil sie bei vollem Verstand sei. Nach ihrer Darlegung kann sie die willkürlichen Akte einer unbefugt eingesetzten und korrupten KESB nicht akzeptieren. Ferner erfolgen Anfeindungen gegenüber der Person der Beiständin. Indes kann nicht auf eine Beschwerde eingetreten werden, soweit mehr oder anderes verlangt wird, als von der Vorinstanz beurteilt wurde ( BGE 136 II 457 E. 4.2 S. 462 f.; 136 V 362 E. 3.4.2 S. 365 ; 142 I 155 E. 4.4.2 S. 156). Die Beistandschaft als solche war wie gesagt nicht das Thema des angefochtenen Entscheides, ebenso wenig die Person der Beiständin.</w:t>
      </w:r>
    </w:p>
    <w:p>
      <w:r>
        <w:rPr>
          <w:b/>
        </w:rPr>
        <w:t>E. 4</w:t>
      </w:r>
    </w:p>
    <w:p>
      <w:r>
        <w:t>Nach dem Gesagten erweist sich die Beschwerde als offensichtlich unzulässig (dazu E. 3) und offensichtlich nicht hinreichend begründet (dazu E. 2), weshalb auf sie nicht eingetreten werden kann und der Präsident im vereinfachten Verfahren entscheidet ( Art. 108 Abs. 1 lit. a und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