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5A_591/2018 vom 18. Juli 2018</w:t>
      </w:r>
    </w:p>
    <w:p>
      <w:r>
        <w:t>Bundesgericht, 2018-07-18, DE</w:t>
      </w:r>
    </w:p>
    <w:p>
      <w:r>
        <w:rPr>
          <w:b/>
        </w:rPr>
        <w:t xml:space="preserve">Quelle: </w:t>
      </w:r>
      <w:r>
        <w:t>https://mcp.opencaselaw.ch/entscheid/bger_5A_591_2018</w:t>
      </w:r>
    </w:p>
    <w:p>
      <w:r>
        <w:t>FR: TF 5A_591/2018 du 18 juillet 2018</w:t>
      </w:r>
    </w:p>
    <w:p>
      <w:r>
        <w:t>IT: TF 5A_591/2018 del 18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Begehren und eine Begründung zu enthalten, ( Art. 42 Abs. 1 BGG ). Weil das Eheschutzverfahren eine vorsorgliche Massnahme im Sinn von Art. 98 BGG darstellt ( BGE 133 III 393 E. 5.1 S. 397), ist nur die Rüge der Verletzung verfassungsmässiger Rechte möglich. Es gilt somit das strenge Rügeprinzip im Sinn von Art. 106 Abs. 2 BGG und das Bundesgericht prüft in diesem Fall nur klar und detailliert erhobene Rügen, während es auf appellatorische Kritik nicht eintritt ( BGE 134 II 244 E. 2.2 S. 246; 140 III 264 E. 2.3 S. 266).</w:t>
      </w:r>
    </w:p>
    <w:p>
      <w:r>
        <w:rPr>
          <w:b/>
        </w:rPr>
        <w:t>E. 2</w:t>
      </w:r>
    </w:p>
    <w:p>
      <w:r>
        <w:t>Die Beschwerde enthält weder ein Rechtsbegehren noch Verfassungsrügen; auch inhaltlich vermöchten die Ausführungen den bei Verfassungsrügen geltenden Substanziierungsanforderungen nicht zu genügen (vgl. dazu BGE 134 II 244 E. 2.2 S. 246 ; 141 I 36 E. 1.3 S. 41; 142 II 369 E. 2.1 S. 372; 142 III 364 E. 2.4 S. 368).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im vereinfachten einzelrichterlichen Verfahren nicht einzutreten ist ( Art. 108 Abs. 1 lit. b BGG ).</w:t>
      </w:r>
    </w:p>
    <w:p>
      <w:r>
        <w:rPr>
          <w:b/>
        </w:rPr>
        <w:t>E. 4</w:t>
      </w:r>
    </w:p>
    <w:p>
      <w:r>
        <w:t>Angesichts der konkreten Umstände wird auf die Erhebung von Gerichtskosten ausnahmsweise verzichtet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