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590/2015 vom 30. Juli 2015</w:t>
      </w:r>
    </w:p>
    <w:p>
      <w:r>
        <w:t>Bundesgericht, 2015-07-30, DE</w:t>
      </w:r>
    </w:p>
    <w:p>
      <w:r>
        <w:rPr>
          <w:b/>
        </w:rPr>
        <w:t xml:space="preserve">Quelle: </w:t>
      </w:r>
      <w:r>
        <w:t>https://mcp.opencaselaw.ch/entscheid/bger_5A_590_2015</w:t>
      </w:r>
    </w:p>
    <w:p>
      <w:r>
        <w:t>FR: TF 5A 590/2015 du 30 juillet 2015</w:t>
      </w:r>
    </w:p>
    <w:p>
      <w:r>
        <w:t>IT: TF 5A 590/2015 del 30 luglio 2015</w:t>
      </w:r>
    </w:p>
    <w:p>
      <w:pPr>
        <w:pStyle w:val="Heading2"/>
      </w:pPr>
      <w:r>
        <w:t>Regeste</w:t>
      </w:r>
    </w:p>
    <w:p>
      <w:r>
        <w:t>Eheschutz | Familienrecht</w:t>
      </w:r>
    </w:p>
    <w:p>
      <w:pPr>
        <w:pStyle w:val="Heading2"/>
      </w:pPr>
      <w:r>
        <w:t>Volltext</w:t>
      </w:r>
    </w:p>
    <w:p>
      <w:r>
        <w:t>Bundesgericht II. zivilrechtliche Abteilung 30.07.2015 5A 590/2015 (5A_590/2015) Tribunal fédéral IIe Cour de droit civil 30.07.2015 5A 590/2015 (5A_590/2015) Tribunale federale II Corte di diritto civile 30.07.2015 5A 590/2015 (5A_590/2015)</w:t>
      </w:r>
    </w:p>
    <w:p>
      <w:r>
        <w:t>Eheschutz | Familienrecht</w:t>
      </w:r>
    </w:p>
    <w:p>
      <w:r>
        <w:t>Bundesgericht Tribunal fédéral Tribunale federale Tribunal federal {T 0/2} 5A_590/2015 Urteil vom 30. Juli 2015 II. zivilrechtliche Abteilung Besetzung Bundesrichter von Werdt, Präsident, Gerichtsschreiber Füllemann. Verfahrensbeteiligte A.A.________, Beschwerdeführer, gegen B.A.________, vertreten durch Rechtsanwältin Lisa Etter-Steinlin, Beschwerdegegnerin. Gegenstand Eheschutz, Beschwerde nach Art. 72 ff. BGG gegen den Entscheid vom 25. Juni 2015 des Kantonsgerichts St.Gallen (Einzelrichter im Familienrecht). Nach Einsicht in die Beschwerde gemäss Art. 72 ff. BGG gegen den Entscheid vom 25. Juni 2015 des Kantonsgerichts St. Gallen, das Berufungen des Beschwerdeführers gegen einerseits einen vorsorglichen Massnahmeentscheid im Eheschutzverfahren und gegen anderseits einen Eheschutzentscheid abgewiesen und (mit Ausnahme der Anpassung von Ratenzahlungen) die angefochtenen Entscheide (u.a. betreffend Genehmigung einer Vereinbarung der Parteien über die - gemeinsame bzw. in alternierender Obhut erfolgende - Betreuung der 2006 und 2007 geborenen Kinder) bestätigt hat, in Erwägung, dass das Kantonsgericht erwog, die Anpassung der Ratenzahlungen erfolge einzig wegen des Zeitablaufs, für eine missbräuchliche Verwendung der Unterhaltsbeiträge durch die Beschwerdegegnerin bestünden ebenso wenig Anhaltspunkte wie für einen (aus objektiver Sicht wesentlichen) Willensmangel bei der Unterzeichnung der erstinstanzlich genehmigten Vereinbarung, diese sei ausserdem klar sowie angemessen und regle sämtliche Kinderbelange, die Eltern hätten praktisch gleiche Betreuungsanteile vereinbart, die den Kindern eine intensive Beziehung zu beiden Eltern ermöglichten, schliesslich liege die getroffene Regelung, die nicht jede Woche wechsle, im Kindeswohl, die Vereinbarung sei daher zu bestätigen, indessen müsse die Betreuungsregelung überprüft werden, wenn der Beschwerdeführer seine abschätzigen Äusserungen über die Beschwerdegegnerin nicht unterlasse, dass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sodann in einem Fall wie dem vorliegenden, wo sich die Beschwerde gegen einen Entscheid betreffend Eheschutz bzw. vorsorgliche Massnahmen im Eheschutzverfahren richtet, nur die Verletzung verfassungsmässiger Rechte gerügt werden kann ( Art. 98 BGG ; BGE 133 III 393 E. 5 S. 396 f.),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mit welcher er die (von den Parteien vereinbarte und richterlich genehmigte) Betreuungsregelung beanstandet, nicht rechtsgenüglich auf die kantonsgerichtlichen Erwägungen eingeht, dass er erst recht nicht anhand dieser Erwägungen nach den gesetzlichen Anforderungen, d.h. klar und detailliert aufzeigt, welche verfassungsmässigen Rechte und inwiefern sie durch den Entscheid des Kantonsgerichts vom 25. Juni 2015 verletzt sein sollen,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der Abteilungspräsident zuständig ist, erkennt der Präsident: 1. Auf die Beschwerde wird nicht eingetreten. 2. Die Gerichtskosten von Fr. 500.-- werden dem Beschwerdeführer auferlegt. 3. Dieses Urteil wird den Parteien und dem Kantonsgericht St. Gallen schriftlich mitgeteilt. Lausanne, 30. Juli 2015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