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590/2010 vom 20. Dezember 2010</w:t>
      </w:r>
    </w:p>
    <w:p>
      <w:r>
        <w:t>Bundesgericht, 2010-12-20, DE</w:t>
      </w:r>
    </w:p>
    <w:p>
      <w:r>
        <w:rPr>
          <w:b/>
        </w:rPr>
        <w:t xml:space="preserve">Quelle: </w:t>
      </w:r>
      <w:r>
        <w:t>https://mcp.opencaselaw.ch/entscheid/bger_5A_590_2010</w:t>
      </w:r>
    </w:p>
    <w:p>
      <w:r>
        <w:t>FR: TF 5A 590/2010 du 20 décembre 2010</w:t>
      </w:r>
    </w:p>
    <w:p>
      <w:r>
        <w:t>IT: TF 5A 590/2010 del 20 dicembre 2010</w:t>
      </w:r>
    </w:p>
    <w:p>
      <w:pPr>
        <w:pStyle w:val="Heading2"/>
      </w:pPr>
      <w:r>
        <w:t>Regeste</w:t>
      </w:r>
    </w:p>
    <w:p>
      <w:r>
        <w:t>Konkursverfahren | Schuldbetreibungs- und Konkursrecht</w:t>
      </w:r>
    </w:p>
    <w:p>
      <w:pPr>
        <w:pStyle w:val="Heading2"/>
      </w:pPr>
      <w:r>
        <w:t>Erwägungen</w:t>
      </w:r>
    </w:p>
    <w:p>
      <w:r>
        <w:rPr>
          <w:b/>
        </w:rPr>
        <w:t>E. 1.1</w:t>
      </w:r>
    </w:p>
    <w:p>
      <w:r>
        <w:t>Entscheide der kantonalen Aufsichtsbehörden in Schuldbetreibungs- und Konkurssachen unterliegen unabhängig vom Streitwert der Beschwerde in Zivilsachen ( Art. 72 Abs. 2 lit. a, Art. 74 Abs. 2 lit. c BGG ). Beschwerdeentscheide der kantonalen Aufsichtsbehörden über eine Verfügung eines Vollstreckungsorganes gemäss Art. 17 SchKG - wie betreffend die Freihandverkaufsverfügung ( BGE 131 III 237 E. 2.2 S. 239) - stellen einen Endentscheid im Sinne von Art. 90 BGG dar ( BGE 133 III 350 E. 1.2 S. 351 mit Hinweisen). Der Beschwerdeführer hat mit Bezug auf die Legitimation zur Beschwerde nach Art. 17 SchKG ohne weiteres ein rechtlich geschütztes Interesse an der Aufhebung des angefochtenen Entscheides ( Art. 76 Abs. 1 lit. b BGG ). Die fristgerecht ( Art. 100 Abs. 2 lit. a BGG ) erhobene Beschwerde in Zivilsachen ist grundsätzlich zulässig.</w:t>
      </w:r>
    </w:p>
    <w:p>
      <w:r>
        <w:rPr>
          <w:b/>
        </w:rPr>
        <w:t>E. 1.2</w:t>
      </w:r>
    </w:p>
    <w:p>
      <w:r>
        <w:t>Mit der Beschwerde in Zivilsachen kann unter anderem die Verletzung von Bundesrecht gerügt werden ( Art. 95 lit. a BGG ). In der Beschwerdeschrift ist in gedrängter Form darzulegen, inwiefern der angefochtene Akt Recht verletzt ( Art. 42 Abs. 2 BGG ).</w:t>
      </w:r>
    </w:p>
    <w:p>
      <w:r>
        <w:rPr>
          <w:b/>
        </w:rPr>
        <w:t>E. 2</w:t>
      </w:r>
    </w:p>
    <w:p>
      <w:r>
        <w:t>Die Aufsichtsbehörde hat festgehalten, dass der Beschwerdeführer behaupte, das Konkursamt habe zu Unrecht die von D.________ eingereichte Offerte von Fr. 50'000.-- nicht berücksichtigt. Er mache jedoch lediglich ein allgemeines Interesse der Gläubiger an der Abwendung von Debitorenverlusten geltend. Dies genüge nicht zur Legitimation des Beschwerdeführers, um die Freihandverkaufsverfügung mit Beschwerde nach Art. 17 SchKG anzufechten. Der Beschwerdeführer führt aus, eine geringere Befriedigung der Konkursgläubiger bedeute höhere Konkursschulden und entsprechend mehr Mittel, die er aufwenden müsse, um diese zu bezahlen. Das hinreichende Interesse an der Beschwerdeführung sei ihm nicht abzusprechen.</w:t>
      </w:r>
    </w:p>
    <w:p>
      <w:r>
        <w:rPr>
          <w:b/>
        </w:rPr>
        <w:t>E. 3</w:t>
      </w:r>
    </w:p>
    <w:p>
      <w:r>
        <w:t>Anlass zur vorliegenden Beschwerde gibt die Anfechtung eines konkursamtlichen Freihandverkaufs im summarischen Verfahren (Art. 231 Abs. 3 Ziff. 2 i.V.m. Art. 256 Abs. 2-4 SchKG ). Zu Recht steht nicht in Frage, dass der Freihandverkauf eine Verfügung ist, welche nach Art. 17 SchKG anfechtbar ist ( BGE 106 III 79 E. 4 S. 82 f.). Umstritten ist, ob der Beschwerdeführer als Gemeinschuldner ein hinreichendes Interesse zur betreibungsrechtlichen Beschwerde geltend gemacht hat.</w:t>
      </w:r>
    </w:p>
    <w:p>
      <w:r>
        <w:rPr>
          <w:b/>
        </w:rPr>
        <w:t>E. 3.1</w:t>
      </w:r>
    </w:p>
    <w:p>
      <w:r>
        <w:t>Der Gemeinschuldner kann nur gegen Verfügungen in ganz bestimmten Bereichen, welche in seine Interessen eingreifen, Beschwerde nach Art. 17 SchKG führen (Lorandi, Betreibungsrechtliche Beschwerde und Nichtigkeit, 2000, N. 177 ff. zu Art. 17), u.a. über die Verwertung von Aktiven ( BGE 108 III 1 E. 2 S. 2 mit Hinweisen; GILLIÉRON, Commentaire de la loi fédérale sur la poursuite pour dettes et la faillite, Bd. I, 1999, N. 162 zu Art. 17). Der Gemeinschuldner hat ein Interesse, dass der Verwertungserlös so hoch wie möglich ist, weshalb er sich auf eine Verletzung von gesetzlichen Regeln über die Verwertung berufen kann ( BGE 33 I 483 ). Ein Interesse, um Beschwerde nach Art. 17 SchKG zu erheben, fehlt hingegen, wenn der Gemeinschuldner sich auf einen angeblichen den Gläubigern zugefügten oder drohenden Nachteil beruft, indem er z.B. die Zuständigkeit der Konkursverwaltung (anstelle des Gläubigerausschusses) zum Entscheid über die Weiterführung des Betriebes in Frage stellt ( BGE 95 III 25 E. 2 S. 28/29), die Admassierung von Vermögen verlangt ( BGE 27 I 555 S. 556) oder die Verteilungsliste anficht ( BGE 129 III 559 E. 1.2 S. 562).</w:t>
      </w:r>
    </w:p>
    <w:p>
      <w:r>
        <w:rPr>
          <w:b/>
        </w:rPr>
        <w:t>E. 3.2</w:t>
      </w:r>
    </w:p>
    <w:p>
      <w:r>
        <w:t>Die Aufsichtsbehörde hat die Beschwerdelegitimation im Wesentlichen mit dem Argument verneint, dass der Beschwerdeführer mit seinen Ausführungen lediglich "ein allgemeines Interesse der Gläubiger an der Abwendung von Debitorenverlusten" geltend mache. Der Beschwerdeführer hält demgegenüber fest, dass die Vorinstanz die Vorbringen in seiner Eingabe vom 18. Juni 2010 unrichtig verstanden und Recht verletzt habe, indem sie angenommen hat, es gehe ihm einzig um einen angeblichen den Gläubigern zugefügten Nachteil und nicht um sein Interesse an einem allfälligen höheren Verwertungserlös. Die Rüge ist begründet. In der betreffenden Eingabe hat der Beschwerdeführer ausgeführt, dass das - angeblich unrichtige - Vorgehen des Betreibungsamtes nicht "im Sinne der Gläubiger sein könne, da ihm bzw. dem Konkursamt ein beträchtlicher Betrag entgehe, der sonst zur zumindest teilweisen Befriedigung der anderen Gläubiger zur Verfügung stünde". Dies genügt, um als Gemeinschuldner das Interesse an der Beschwerde nach Art. 17 SchKG gegen die Verwertung eines Konkursaktivums darzulegen. Wenn die Aufsichtsbehörde dem Beschwerdeführer die Beschwerdebefugnis abgesprochen hat, stellt dies eine Verletzung von Bundesrecht dar.</w:t>
      </w:r>
    </w:p>
    <w:p>
      <w:r>
        <w:rPr>
          <w:b/>
        </w:rPr>
        <w:t>E. 4</w:t>
      </w:r>
    </w:p>
    <w:p>
      <w:r>
        <w:t>Nach dem Dargelegten ist die Beschwerde in Zivilsachen gutzuheissen. Der angefochtene Nichteintretensentscheid ist aufzuheben und die Sache ist an die Aufsichtsbehörde zu neuer Entscheidung im Sinne der Erwägungen zurückzuweisen. Es werden keine Gerichtskosten erhoben ( Art. 66 Abs. 1 BGG ). Eine Parteientschädigung an den nicht anwaltlich vertretenen Beschwerdeführer ist nicht geschuldet ( Art. 68 Abs. 1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