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5A_58/2021 vom 22. Januar 2021</w:t>
      </w:r>
    </w:p>
    <w:p>
      <w:r>
        <w:t>Bundesgericht, 2021-01-22, DE</w:t>
      </w:r>
    </w:p>
    <w:p>
      <w:r>
        <w:rPr>
          <w:b/>
        </w:rPr>
        <w:t xml:space="preserve">Quelle: </w:t>
      </w:r>
      <w:r>
        <w:t>https://mcp.opencaselaw.ch/entscheid/bger_5A_58_2021</w:t>
      </w:r>
    </w:p>
    <w:p>
      <w:r>
        <w:t>FR: TF 5A_58/2021 du 22 janvier 2021</w:t>
      </w:r>
    </w:p>
    <w:p>
      <w:r>
        <w:t>IT: TF 5A_58/2021 del 22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der Beschwerdeführerin nicht eingetreten. Streitgegenstand ist deshalb grundsätzlich nur die Frage, ob die Vorinstanz zu Recht einen Nichteintretensentscheid gefällt hat ( BGE 135 II 38 E. 1.2 S. 41; 139 II 233 E. 3.2 S. 235).</w:t>
      </w:r>
    </w:p>
    <w:p>
      <w:r>
        <w:t>Diesbezüglich hat die Beschwerde ein Rechtsbegehren und eine Begründung zu enthalten ( Art. 42 Abs. 1 BGG ), in welcher in gedrängter Form dargelegt wird,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2</w:t>
      </w:r>
    </w:p>
    <w:p>
      <w:r>
        <w:t>Die Beschwerde enthält weder ein Rechtsbegehren noch eine sachgerichtete Begründung, sondern nebst einer ausführlichen Schilderung der Zutaten des Mittag- und Abendessens Polemik in verschiedener Richtung (gegenüber dem Anwalt, Bundesrichtern und Bankenvertretern bzw. der Schweizer Justiz und der Finanzwirtschaft) sowie den - bereits in zahlreichen früheren Verfahren geäusserten - Appell, dass sich das Bundesgericht mit dem "Fall C.________" befasse bzw. diesbezüglich der EuGH eingeschaltet werde.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Die Gerichtskosten sind der Beschwerdeführerin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