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5A_589/2011 vom 9. März 2012</w:t>
      </w:r>
    </w:p>
    <w:p>
      <w:r>
        <w:t>Bundesgericht, 2012-03-09, DE</w:t>
      </w:r>
    </w:p>
    <w:p>
      <w:r>
        <w:rPr>
          <w:b/>
        </w:rPr>
        <w:t xml:space="preserve">Quelle: </w:t>
      </w:r>
      <w:r>
        <w:t>https://mcp.opencaselaw.ch/entscheid/bger_5A_589_2011</w:t>
      </w:r>
    </w:p>
    <w:p>
      <w:r>
        <w:t>FR: TF 5A_589/2011 du 9 mars 2012</w:t>
      </w:r>
    </w:p>
    <w:p>
      <w:r>
        <w:t>IT: TF 5A_589/2011 del 9 marzo 2012</w:t>
      </w:r>
    </w:p>
    <w:p>
      <w:pPr>
        <w:pStyle w:val="Heading2"/>
      </w:pPr>
      <w:r>
        <w:t>Erwägungen</w:t>
      </w:r>
    </w:p>
    <w:p>
      <w:r>
        <w:rPr>
          <w:b/>
        </w:rPr>
        <w:t>E. 1</w:t>
      </w:r>
    </w:p>
    <w:p>
      <w:r>
        <w:t>Angefochten ist ein kantonal letztinstanzlicher Endentscheid in einer vermögensrechtlichen Zivilsache. Der Streitwert übersteigt Fr. 30'000.--. Die Beschwerde in Zivilsachen ist somit im Grundsatz zulässig (Art. 51 Abs. 4 Satz 2, Art. 72 Abs. 1, Art. 74 Abs. 1 lit. b, Art. 75 Abs. 1 und Art. 90 BGG ).</w:t>
      </w:r>
    </w:p>
    <w:p>
      <w:r>
        <w:rPr>
          <w:b/>
        </w:rPr>
        <w:t>E. 2.1</w:t>
      </w:r>
    </w:p>
    <w:p>
      <w:r>
        <w:t>Das erstinstanzliche Urteil erging am 16. November 2010 und wurde noch im Jahr 2010 versandt (zur Relevanz des Versanddatums vgl. BGE 137 III 130 E. 2 S. 132). Folglich bestimmt sich das gegen das erstinstanzliche Abänderungsurteil zulässige Rechtsmittel noch nach der ZPO/FR ( Art. 405 Abs. 1 ZPO ). Für das Verfahren vor der Rechtsmittelinstanz ist naturgemäss ebenfalls die ZPO/FR anwendbar ( Art. 404 Abs. 1 ZPO ).</w:t>
      </w:r>
    </w:p>
    <w:p>
      <w:r>
        <w:rPr>
          <w:b/>
        </w:rPr>
        <w:t>E. 2.2</w:t>
      </w:r>
    </w:p>
    <w:p>
      <w:r>
        <w:t>Die Anwendung des kantonalen Zivilprozessrechts kann nicht direkt bzw. mit voller Kognition, sondern einzig auf Willkür, d.h. auf eine Verletzung von Art. 9 BV hin geprüft werden ( BGE 134 II 349 E. 3 S. 351), was - wie im Übrigen generell bei der Geltendmachung von Verfassungsverletzungen - entsprechend substanziierte Rügen voraussetzt ( Art. 106 Abs. 2 BGG ). Danach ist im Einzelnen darzulegen, inwiefern das kantonale Gericht willkürlich entschieden haben soll und der angefochtene Entscheid deshalb an einem qualifizierten und offensichtlichen Mangel leidet ( BGE 134 II 244 E. 2.2 S. 246). Nach der bundesgerichtlichen Praxis liegt Willkür nicht schon vor, wenn eine andere Lösung ebenfalls vertretbar erscheint oder sogar vorzuziehen wäre ( BGE 132 I 175 E. 1.2 S. 177; BGE 131 I 467 E. 3.1 S. 473 f.; je mit Hinweisen), sondern nur, wenn der angefochtene Entscheid offensichtlich unhaltbar ist, mit der tatsächlichen Situation in klarem Widerspruch steht, eine Norm oder einen unumstrittenen Rechtsgrundsatz krass verletzt oder in stossender Weise dem Gerechtigkeitsgedanken zuwiderläuft. Schliesslich hebt das Bundesgericht einen Entscheid nur auf, wenn nicht bloss die Begründung, sondern auch das Ergebnis unhaltbar ist ( BGE 134 I 140 E. 5.4 S. 148 mit Hinweisen).</w:t>
      </w:r>
    </w:p>
    <w:p>
      <w:r>
        <w:rPr>
          <w:b/>
        </w:rPr>
        <w:t>E. 2.3</w:t>
      </w:r>
    </w:p>
    <w:p>
      <w:r>
        <w:t>Die Vorinstanz ist auf die Anschlussberufung des Beschwerdeführers nicht eingetreten. Sie begründete dies damit, dass nicht substanziiert dargetan wurde, warum die erste Instanz zu Unrecht angenommen habe, die Beibehaltung des 65% Pensums der Beschwerdegegnerin sei sachgerecht. Der Beschwerdeführer habe sich nicht mit der Begründung des erstinstanzlichen Entscheids auseinandergesetzt und sich darauf beschränkt, seine vor erster Instanz vorgebrachten Argumente zu wiederholen.</w:t>
      </w:r>
    </w:p>
    <w:p>
      <w:r>
        <w:t>Vor Bundesgericht rügt der Beschwerdeführer diese vorinstanzliche Beurteilung als willkürlich, indem er ausführt, was er bereits vor dem Kantonsgericht dargelegt habe. Er zeigt aber nicht auf, inwiefern er sich bereits vor der Vorinstanz und entgegen dem vorinstanzlichen Befund in einer dem kantonalen Verfahrensrecht genügenden Weise konkret mit den erstinstanzlichen Erwägungen auseinandergesetzt hat. Damit lässt sich keine Willkür dartun. Der Beschwerdeführer kommt den qualifizierten Begründungsanforderungen gemäss Art. 106 Abs. 2 BGG nicht nach (s. oben E. 2.2). Auf die Beschwerde ist nicht einzutreten.</w:t>
      </w:r>
    </w:p>
    <w:p>
      <w:r>
        <w:rPr>
          <w:b/>
        </w:rPr>
        <w:t>E. 3</w:t>
      </w:r>
    </w:p>
    <w:p>
      <w:r>
        <w:t>Bei diesem Verfahrensausgang wird der Beschwerdeführer kostenpflichtig ( Art. 66 Abs.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