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587/2022 vom 10. August 2022</w:t>
      </w:r>
    </w:p>
    <w:p>
      <w:r>
        <w:t>Bundesgericht, 2022-08-10, DE</w:t>
      </w:r>
    </w:p>
    <w:p>
      <w:r>
        <w:rPr>
          <w:b/>
        </w:rPr>
        <w:t xml:space="preserve">Quelle: </w:t>
      </w:r>
      <w:r>
        <w:t>https://mcp.opencaselaw.ch/entscheid/bger_5A_587_2022</w:t>
      </w:r>
    </w:p>
    <w:p>
      <w:r>
        <w:t>FR: TF 5A 587/2022 du 10 août 2022</w:t>
      </w:r>
    </w:p>
    <w:p>
      <w:r>
        <w:t>IT: TF 5A 587/2022 del 10 agosto 2022</w:t>
      </w:r>
    </w:p>
    <w:p>
      <w:pPr>
        <w:pStyle w:val="Heading2"/>
      </w:pPr>
      <w:r>
        <w:t>Regeste</w:t>
      </w:r>
    </w:p>
    <w:p>
      <w:r>
        <w:t>Feststellungsklage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Beschwerdeweise wird einzig festgehalten, sei es unmöglich gewesen, rechtzeitig Beschwerde einzureichen (offensichtlich gemeint: gegen den Entscheid vom 16. Februar 2022), weil die Beiständin Sachentziehung und Diebstahl begangen habe.</w:t>
      </w:r>
    </w:p>
    <w:p>
      <w:r>
        <w:rPr>
          <w:b/>
        </w:rPr>
        <w:t>E. 2</w:t>
      </w:r>
    </w:p>
    <w:p>
      <w:r>
        <w:t>Abgesehen davon, dass B.________ nicht (mehr) befugt ist, für die A.________ GmbH zu handeln, wird mit der genannten Aussage nicht aufgezeigt, inwiefern die Nichteintretenserwägungen des angefochtenen Entscheides gegen Recht verstossen sollen (vgl. dazu Art. 42 Abs. 2 BGG ). Ausserdem enthält die Eingabe kein Rechtsbegehren (vgl. dazu Art. 42 Abs. 1 BGG ).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