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5A_587/2019 vom 23. August 2019</w:t>
      </w:r>
    </w:p>
    <w:p>
      <w:r>
        <w:t>Bundesgericht, 2019-08-23, FR</w:t>
      </w:r>
    </w:p>
    <w:p>
      <w:r>
        <w:rPr>
          <w:b/>
        </w:rPr>
        <w:t xml:space="preserve">Quelle: </w:t>
      </w:r>
      <w:r>
        <w:t>https://mcp.opencaselaw.ch/entscheid/bger_5A_587_2019</w:t>
      </w:r>
    </w:p>
    <w:p>
      <w:r>
        <w:t>FR: TF 5A_587/2019 du 23 août 2019</w:t>
      </w:r>
    </w:p>
    <w:p>
      <w:r>
        <w:t>IT: TF 5A_587/2019 del 23 agosto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Dans le cadre de poursuites en validation de séquestres introduites par la Confédération Suisse et l'Etat de Genève à l'encontre des époux A.A.________ et B.A.________, l'Office des poursuites de Genève a établi le 7 juin 2019 deux procès-verbaux de saisie (n os xx xx xxxxxx x et yy yy yyyyyy y). Le 21 juin 2019, les poursuivis ont porté plainte contre ces procès-verbaux et requis l'effet suspensif.</w:t>
      </w:r>
    </w:p>
    <w:p>
      <w:r>
        <w:t>Statuant le 5 juillet 2019, la Présidente de la Chambre de surveillance des Offices des poursuites et faillites de la Cour de justice du canton de Genève a rejeté la requête d'effet suspensif.</w:t>
      </w:r>
    </w:p>
    <w:p>
      <w:r>
        <w:rPr>
          <w:b/>
        </w:rPr>
        <w:t>E. 2</w:t>
      </w:r>
    </w:p>
    <w:p>
      <w:r>
        <w:t>Par acte expédié le 19 juillet 2019, les poursuivis exercent un recours en matière civile au Tribunal fédéral contre l'ordonnance précitée; ils concluent à l'octroi de l'effet suspensif à leur «</w:t>
      </w:r>
    </w:p>
    <w:p>
      <w:r>
        <w:t>dénonciation-plainte du 21 juin 2019 ».</w:t>
      </w:r>
    </w:p>
    <w:p>
      <w:r>
        <w:t>Les intimés n'ont pas été invités à se déterminer sur le fond, mais sur la requête d'effet suspensif; ils en proposent le rejet.</w:t>
      </w:r>
    </w:p>
    <w:p>
      <w:r>
        <w:rPr>
          <w:b/>
        </w:rPr>
        <w:t>E. 3</w:t>
      </w:r>
    </w:p>
    <w:p>
      <w:r>
        <w:t>Le recours a été déposé à temps ( art. 100 al. 2 let. a LTF ) à l'encontre d'une décision incidente ( art. 93 al. 1 LTF ; ATF 137 III 475 consid. 1 et les arrêts cités), portant sur des mesures provisionnelles ( art. 98 LTF ; ATF 134 II 192 consid. 1.5 et les citations), prise en dernière instance cantonale ( art. 75 al. 1 LTF ). Il est ouvert indépendamment de la valeur litigieuse ( art. 74 al. 2 let . c LTF). Les poursuivis, qui ont participé à la procédure devant l'autorité précédente et possèdent un intérêt digne de protection à la modification de l'ordonnance attaquée, ont qualité pour recourir ( art. 76 al. 1 LTF ). Il n'y a pas lieu d'examiner si cette décision est de nature à causer un préjudice irréparable aux recourants ( art. 93 al. 1 let. a LTF ; sur cette notion: ATF 142 III 798 consid. 2.2, avec la jurisprudence citée) - ce qui n'est en principe pas le cas en matière de prestations pécuniaires ( ATF 138 III 333 consid. 1.3.1) -, car le recours est voué à l'échec.</w:t>
      </w:r>
    </w:p>
    <w:p>
      <w:r>
        <w:rPr>
          <w:b/>
        </w:rPr>
        <w:t>E. 4</w:t>
      </w:r>
    </w:p>
    <w:p>
      <w:r>
        <w:t>En l'espèce, les recourants dénoncent une violation de leur «</w:t>
      </w:r>
    </w:p>
    <w:p>
      <w:r>
        <w:t>droit à la réplique », découlant du droit d'être entendu (art. 6 § 1 CEDH et art. 29 al. 1 et 2 Cst. ). Ils exposent que l'ordonnance attaquée a été adressée à leurs mandataires le même jour que les réponses de l'Administration fiscale cantonale et de l'Office «</w:t>
      </w:r>
    </w:p>
    <w:p>
      <w:r>
        <w:t>sur effet suspensif dont est objet »; il s'agit là d'une violation manifeste de leur droit à la réplique, qu'il était indispensable d'exercer, vu les «</w:t>
      </w:r>
    </w:p>
    <w:p>
      <w:r>
        <w:t>éléments importants et nouvellement avancés par l'AFC-GE et l'OP ».</w:t>
      </w:r>
    </w:p>
    <w:p>
      <w:r>
        <w:rPr>
          <w:b/>
        </w:rPr>
        <w:t>E. 4.1</w:t>
      </w:r>
    </w:p>
    <w:p>
      <w:r>
        <w:t>Les recourants invoquent les art. 26 et 27 Cst. , sans expliquer en quoi la garantie de la propriété, respectivement la liberté économique, seraient par ailleurs applicables dans une procédure d'exécution forcée tendant au recouvrement de créances fiscales; une pareille invocation toute générale de droits constitutionnels ne respecte pas l'exigence de motivation prévue par l' art. 106 al. 2 LTF ( ATF 134 V 138 consid. 2.2; arrêt 2C_774/2011 du 3 janvier 2012 consid. 2.2). Au surplus, c'est à tort qu'ils se réfèrent à l'«</w:t>
      </w:r>
    </w:p>
    <w:p>
      <w:r>
        <w:t>art. 325 CPC », norme qui n'est pas de nature constitutionnelle (</w:t>
      </w:r>
    </w:p>
    <w:p>
      <w:r>
        <w:t>cf .</w:t>
      </w:r>
    </w:p>
    <w:p>
      <w:r>
        <w:t>supra , consid. 3), ni, de surcroît, pertinente dans une procédure de plainte LP (</w:t>
      </w:r>
    </w:p>
    <w:p>
      <w:r>
        <w:t>cf . art. 36 LP ).</w:t>
      </w:r>
    </w:p>
    <w:p>
      <w:r>
        <w:rPr>
          <w:b/>
        </w:rPr>
        <w:t>E. 4.2</w:t>
      </w:r>
    </w:p>
    <w:p>
      <w:r>
        <w:t>Selon la jurisprudence, l' art. 29 al. 2 Cst. ne revêt pas, dans une procédure relative à des mesures provisionnelles - à l'instar de l'effet suspensif (</w:t>
      </w:r>
    </w:p>
    <w:p>
      <w:r>
        <w:t>cf . ATF 119 II 429 consid. 3d) -, la même portée que dans une procédure au fond. Les décisions sur l'effet suspensif doivent, par nature, être ordonnées rapidement et sans de longues investigations; l'autorité qui statue peut dès lors, sauf circonstances particulières, se dispenser d'entendre de façon détaillée les intéressés ou de procéder à un second échange d'écritures, le droit d'être entendu du requérant étant en principe déjà garanti par le dépôt de sa requête ( ATF 139 I 189 consid. 3.3; parmi d'autres: arrêts 5A_663/2018 du 12 septembre 2018 consid. 5.1; 5A_614/2015 du 16 octobre 2015 consid. 3.1). Il n'y a pas lieu de déroger à ce principe en l'occurrence, du moins les recourants ne le démontrent pas. En tant qu'ils prétendent avoir été frustrés d'un second échange d'écritures, leur argumentation apparaît ainsi dénuée de fondement.</w:t>
      </w:r>
    </w:p>
    <w:p>
      <w:r>
        <w:t>Le Tribunal fédéral a en outre rappelé que le droit d'être entendu n'est pas une fin en soi, de sorte qu'il ne faut annuler la décision entreprise que si la violation du droit à la réplique a exercé une influence sur la procédure, en particulier sur l'administration des preuves. Il incombe au recourant d'indiquer quels arguments il aurait soulevé à cette occasion et en quoi ils auraient été pertinents; faute d'une telle démonstration, le renvoi de la cause à la juridiction précédente «</w:t>
      </w:r>
    </w:p>
    <w:p>
      <w:r>
        <w:t>constituerait une vaine formalité et conduirait seulement à prolonger inutilement la procédure » (arrêt 5D_74/2019 du 29 mai 2019 consid. 4.2 et les citations). Or, les recourants se limitent en l'espèce à évoquer des «</w:t>
      </w:r>
    </w:p>
    <w:p>
      <w:r>
        <w:t>éléments importants et nouvellement avancés » par les intimés dans leurs observations sur la requête d'effet suspensif, sans préciser en quoi ils consisteraient; le simple renvoi à des pièces («</w:t>
      </w:r>
    </w:p>
    <w:p>
      <w:r>
        <w:t>Pièces 20 à 22 ») ne saurait tenir lieu de motivation ( ATF 141 V 416 consid. 4 et les arrêts cités)</w:t>
      </w:r>
    </w:p>
    <w:p>
      <w:r>
        <w:rPr>
          <w:b/>
        </w:rPr>
        <w:t>E. 5</w:t>
      </w:r>
    </w:p>
    <w:p>
      <w:r>
        <w:t>Manifestement mal fondé dans la mesure de sa recevabilité, le recours doit être rejeté en procédure simplifiée ( art. 109 al. 2 let. a LTF ), avec suite de frais judiciaires à la charge des recourants, solidairement entre eux ( art. 66 al. 1 et 5 LTF ). Cela étant, la requête d'effet suspensif n'a plus d'objet. Il n'y a pas lieu d'allouer des dépens aux intimés pour les observations relatives à cette écriture ( art. 68 al.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